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1E" w:rsidRPr="006C49EC" w:rsidRDefault="00F96867" w:rsidP="00A55B1E">
      <w:pPr>
        <w:jc w:val="right"/>
        <w:rPr>
          <w:rFonts w:asciiTheme="minorHAnsi" w:hAnsiTheme="minorHAnsi" w:cstheme="minorHAnsi"/>
          <w:sz w:val="22"/>
          <w:szCs w:val="22"/>
        </w:rPr>
      </w:pPr>
      <w:r w:rsidRPr="006C49EC">
        <w:rPr>
          <w:rFonts w:asciiTheme="minorHAnsi" w:hAnsiTheme="minorHAnsi" w:cstheme="minorHAnsi"/>
          <w:sz w:val="22"/>
          <w:szCs w:val="22"/>
        </w:rPr>
        <w:drawing>
          <wp:inline distT="0" distB="0" distL="0" distR="0" wp14:anchorId="5B8922CD" wp14:editId="3709094F">
            <wp:extent cx="1905000" cy="1419225"/>
            <wp:effectExtent l="19050" t="0" r="0" b="0"/>
            <wp:docPr id="2"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9" cstate="print"/>
                    <a:stretch>
                      <a:fillRect/>
                    </a:stretch>
                  </pic:blipFill>
                  <pic:spPr>
                    <a:xfrm>
                      <a:off x="0" y="0"/>
                      <a:ext cx="1905000" cy="1419225"/>
                    </a:xfrm>
                    <a:prstGeom prst="rect">
                      <a:avLst/>
                    </a:prstGeom>
                  </pic:spPr>
                </pic:pic>
              </a:graphicData>
            </a:graphic>
          </wp:inline>
        </w:drawing>
      </w:r>
    </w:p>
    <w:p w:rsidR="00A55B1E" w:rsidRPr="006C49EC" w:rsidRDefault="00A55B1E" w:rsidP="00A55B1E">
      <w:pPr>
        <w:jc w:val="right"/>
        <w:rPr>
          <w:rFonts w:asciiTheme="minorHAnsi" w:hAnsiTheme="minorHAnsi" w:cstheme="minorHAnsi"/>
          <w:sz w:val="22"/>
          <w:szCs w:val="22"/>
        </w:rPr>
      </w:pPr>
    </w:p>
    <w:p w:rsidR="00763F76" w:rsidRPr="006C49EC" w:rsidRDefault="00763F76" w:rsidP="00763F76">
      <w:pPr>
        <w:rPr>
          <w:rFonts w:asciiTheme="minorHAnsi" w:hAnsiTheme="minorHAnsi" w:cstheme="minorHAnsi"/>
          <w:sz w:val="48"/>
          <w:szCs w:val="48"/>
        </w:rPr>
      </w:pPr>
      <w:r w:rsidRPr="006C49EC">
        <w:rPr>
          <w:rFonts w:asciiTheme="minorHAnsi" w:hAnsiTheme="minorHAnsi" w:cstheme="minorHAnsi"/>
          <w:b/>
          <w:color w:val="5D0F68"/>
          <w:sz w:val="48"/>
          <w:szCs w:val="48"/>
        </w:rPr>
        <w:t xml:space="preserve">Embedding </w:t>
      </w:r>
      <w:r w:rsidR="00A24E38" w:rsidRPr="006C49EC">
        <w:rPr>
          <w:rFonts w:asciiTheme="minorHAnsi" w:hAnsiTheme="minorHAnsi" w:cstheme="minorHAnsi"/>
          <w:b/>
          <w:color w:val="5D0F68"/>
          <w:sz w:val="48"/>
          <w:szCs w:val="48"/>
        </w:rPr>
        <w:t>E</w:t>
      </w:r>
      <w:r w:rsidRPr="006C49EC">
        <w:rPr>
          <w:rFonts w:asciiTheme="minorHAnsi" w:hAnsiTheme="minorHAnsi" w:cstheme="minorHAnsi"/>
          <w:b/>
          <w:color w:val="5D0F68"/>
          <w:sz w:val="48"/>
          <w:szCs w:val="48"/>
        </w:rPr>
        <w:t xml:space="preserve">nergy </w:t>
      </w:r>
      <w:r w:rsidR="00A24E38" w:rsidRPr="006C49EC">
        <w:rPr>
          <w:rFonts w:asciiTheme="minorHAnsi" w:hAnsiTheme="minorHAnsi" w:cstheme="minorHAnsi"/>
          <w:b/>
          <w:color w:val="5D0F68"/>
          <w:sz w:val="48"/>
          <w:szCs w:val="48"/>
        </w:rPr>
        <w:t xml:space="preserve">Management </w:t>
      </w:r>
      <w:r w:rsidR="007C6896" w:rsidRPr="006C49EC">
        <w:rPr>
          <w:rFonts w:asciiTheme="minorHAnsi" w:hAnsiTheme="minorHAnsi" w:cstheme="minorHAnsi"/>
          <w:b/>
          <w:color w:val="5D0F68"/>
          <w:sz w:val="48"/>
          <w:szCs w:val="48"/>
        </w:rPr>
        <w:t>(EEM)</w:t>
      </w:r>
    </w:p>
    <w:p w:rsidR="00780C26" w:rsidRPr="006C49EC" w:rsidRDefault="00763F76" w:rsidP="00763F76">
      <w:pPr>
        <w:rPr>
          <w:rFonts w:asciiTheme="minorHAnsi" w:hAnsiTheme="minorHAnsi" w:cstheme="minorHAnsi"/>
          <w:b/>
          <w:sz w:val="48"/>
          <w:szCs w:val="48"/>
        </w:rPr>
      </w:pPr>
      <w:r w:rsidRPr="006C49EC">
        <w:rPr>
          <w:rFonts w:asciiTheme="minorHAnsi" w:hAnsiTheme="minorHAnsi" w:cstheme="minorHAnsi"/>
          <w:b/>
          <w:sz w:val="48"/>
          <w:szCs w:val="48"/>
        </w:rPr>
        <w:t>Practice Guide</w:t>
      </w:r>
      <w:r w:rsidR="00A32E78" w:rsidRPr="006C49EC">
        <w:rPr>
          <w:rFonts w:asciiTheme="minorHAnsi" w:hAnsiTheme="minorHAnsi" w:cstheme="minorHAnsi"/>
          <w:b/>
          <w:sz w:val="48"/>
          <w:szCs w:val="48"/>
        </w:rPr>
        <w:t xml:space="preserve"> - </w:t>
      </w:r>
      <w:r w:rsidR="00B43015" w:rsidRPr="006C49EC">
        <w:rPr>
          <w:rFonts w:asciiTheme="minorHAnsi" w:hAnsiTheme="minorHAnsi" w:cstheme="minorHAnsi"/>
          <w:b/>
          <w:sz w:val="48"/>
          <w:szCs w:val="48"/>
        </w:rPr>
        <w:t>Module</w:t>
      </w:r>
      <w:r w:rsidRPr="006C49EC">
        <w:rPr>
          <w:rFonts w:asciiTheme="minorHAnsi" w:hAnsiTheme="minorHAnsi" w:cstheme="minorHAnsi"/>
          <w:b/>
          <w:sz w:val="48"/>
          <w:szCs w:val="48"/>
        </w:rPr>
        <w:t xml:space="preserve"> 1: </w:t>
      </w:r>
      <w:r w:rsidR="00160755" w:rsidRPr="006C49EC">
        <w:rPr>
          <w:rFonts w:asciiTheme="minorHAnsi" w:hAnsiTheme="minorHAnsi" w:cstheme="minorHAnsi"/>
          <w:b/>
          <w:sz w:val="48"/>
          <w:szCs w:val="48"/>
        </w:rPr>
        <w:t>E</w:t>
      </w:r>
      <w:r w:rsidRPr="006C49EC">
        <w:rPr>
          <w:rFonts w:asciiTheme="minorHAnsi" w:hAnsiTheme="minorHAnsi" w:cstheme="minorHAnsi"/>
          <w:b/>
          <w:sz w:val="48"/>
          <w:szCs w:val="48"/>
        </w:rPr>
        <w:t xml:space="preserve">nergy </w:t>
      </w:r>
      <w:r w:rsidR="00211716" w:rsidRPr="006C49EC">
        <w:rPr>
          <w:rFonts w:asciiTheme="minorHAnsi" w:hAnsiTheme="minorHAnsi" w:cstheme="minorHAnsi"/>
          <w:b/>
          <w:sz w:val="48"/>
          <w:szCs w:val="48"/>
        </w:rPr>
        <w:t xml:space="preserve">and </w:t>
      </w:r>
      <w:r w:rsidR="00160755" w:rsidRPr="006C49EC">
        <w:rPr>
          <w:rFonts w:asciiTheme="minorHAnsi" w:hAnsiTheme="minorHAnsi" w:cstheme="minorHAnsi"/>
          <w:b/>
          <w:sz w:val="48"/>
          <w:szCs w:val="48"/>
        </w:rPr>
        <w:t>business planning</w:t>
      </w:r>
      <w:r w:rsidR="00D85C25" w:rsidRPr="006C49EC">
        <w:rPr>
          <w:rFonts w:asciiTheme="minorHAnsi" w:hAnsiTheme="minorHAnsi" w:cstheme="minorHAnsi"/>
          <w:b/>
          <w:sz w:val="48"/>
          <w:szCs w:val="48"/>
        </w:rPr>
        <w:t xml:space="preserve"> </w:t>
      </w:r>
    </w:p>
    <w:p w:rsidR="00E67303" w:rsidRPr="006C49EC" w:rsidRDefault="00E67303" w:rsidP="00E67303"/>
    <w:p w:rsidR="00B54666" w:rsidRPr="006C49EC" w:rsidRDefault="00B54666" w:rsidP="00E67303"/>
    <w:p w:rsidR="00B54666" w:rsidRPr="006C49EC" w:rsidRDefault="00B54666" w:rsidP="00E67303"/>
    <w:p w:rsidR="00A32E78" w:rsidRPr="006C49EC" w:rsidRDefault="00A32E78" w:rsidP="00763F76">
      <w:pPr>
        <w:rPr>
          <w:rFonts w:asciiTheme="minorHAnsi" w:hAnsiTheme="minorHAnsi" w:cstheme="minorHAnsi"/>
          <w:sz w:val="22"/>
          <w:szCs w:val="22"/>
        </w:rPr>
      </w:pPr>
    </w:p>
    <w:p w:rsidR="00A55B1E" w:rsidRPr="006C49EC" w:rsidRDefault="00A55B1E" w:rsidP="00A55B1E">
      <w:pPr>
        <w:ind w:right="-12"/>
        <w:rPr>
          <w:rFonts w:asciiTheme="minorHAnsi" w:hAnsiTheme="minorHAnsi" w:cstheme="minorHAnsi"/>
          <w:b/>
          <w:sz w:val="16"/>
          <w:szCs w:val="16"/>
        </w:rPr>
      </w:pPr>
    </w:p>
    <w:tbl>
      <w:tblPr>
        <w:tblW w:w="0" w:type="auto"/>
        <w:tblInd w:w="8722" w:type="dxa"/>
        <w:tblLook w:val="04A0" w:firstRow="1" w:lastRow="0" w:firstColumn="1" w:lastColumn="0" w:noHBand="0" w:noVBand="1"/>
      </w:tblPr>
      <w:tblGrid>
        <w:gridCol w:w="5244"/>
      </w:tblGrid>
      <w:tr w:rsidR="00D81207" w:rsidRPr="006C49EC" w:rsidTr="00D81207">
        <w:tc>
          <w:tcPr>
            <w:tcW w:w="5244" w:type="dxa"/>
          </w:tcPr>
          <w:p w:rsidR="00D81207" w:rsidRPr="006C49EC" w:rsidRDefault="00D81207" w:rsidP="00D81207">
            <w:pPr>
              <w:ind w:left="2444" w:right="-12"/>
              <w:jc w:val="right"/>
              <w:rPr>
                <w:rFonts w:ascii="Calibri" w:hAnsi="Calibri" w:cs="Calibri"/>
                <w:sz w:val="20"/>
              </w:rPr>
            </w:pPr>
            <w:r w:rsidRPr="006C49EC">
              <w:rPr>
                <w:rFonts w:ascii="Calibri" w:hAnsi="Calibri" w:cs="Calibri"/>
                <w:szCs w:val="22"/>
              </w:rPr>
              <w:drawing>
                <wp:inline distT="0" distB="0" distL="0" distR="0" wp14:anchorId="70B6F8AF" wp14:editId="366F3B60">
                  <wp:extent cx="904875" cy="533400"/>
                  <wp:effectExtent l="0" t="0" r="9525" b="0"/>
                  <wp:docPr id="6"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D81207" w:rsidRPr="006C49EC" w:rsidTr="00D81207">
        <w:tc>
          <w:tcPr>
            <w:tcW w:w="5244" w:type="dxa"/>
          </w:tcPr>
          <w:p w:rsidR="00D81207" w:rsidRPr="006C49EC" w:rsidRDefault="00D81207" w:rsidP="00081A59">
            <w:pPr>
              <w:ind w:left="34" w:right="-12"/>
              <w:jc w:val="right"/>
              <w:rPr>
                <w:rFonts w:ascii="Calibri" w:hAnsi="Calibri" w:cs="Calibri"/>
                <w:sz w:val="20"/>
              </w:rPr>
            </w:pPr>
            <w:r w:rsidRPr="006C49EC">
              <w:rPr>
                <w:rFonts w:ascii="Calibri" w:hAnsi="Calibri" w:cs="Calibri"/>
                <w:sz w:val="20"/>
              </w:rPr>
              <w:t xml:space="preserve">The material provided in this document has been produced in conjunction with our partner </w:t>
            </w:r>
            <w:hyperlink r:id="rId11" w:history="1">
              <w:r w:rsidRPr="006C49EC">
                <w:rPr>
                  <w:rFonts w:ascii="Calibri" w:hAnsi="Calibri" w:cs="Calibri"/>
                  <w:sz w:val="20"/>
                </w:rPr>
                <w:t>Energetics Pty Ltd</w:t>
              </w:r>
            </w:hyperlink>
            <w:r w:rsidRPr="006C49EC">
              <w:rPr>
                <w:rFonts w:ascii="Calibri" w:hAnsi="Calibri" w:cs="Calibri"/>
                <w:sz w:val="20"/>
              </w:rPr>
              <w:t>.</w:t>
            </w:r>
          </w:p>
        </w:tc>
      </w:tr>
    </w:tbl>
    <w:p w:rsidR="00A32E78" w:rsidRPr="006C49EC" w:rsidRDefault="00A32E78" w:rsidP="00D81207">
      <w:pPr>
        <w:ind w:left="3686" w:right="-12"/>
        <w:rPr>
          <w:rFonts w:ascii="Calibri" w:hAnsi="Calibri" w:cs="Calibri"/>
          <w:iCs/>
          <w:sz w:val="20"/>
        </w:rPr>
      </w:pPr>
    </w:p>
    <w:p w:rsidR="00D81207" w:rsidRPr="006C49EC" w:rsidRDefault="00D81207" w:rsidP="00D81207">
      <w:pPr>
        <w:ind w:left="3686" w:right="208"/>
        <w:jc w:val="right"/>
        <w:rPr>
          <w:rFonts w:ascii="Calibri" w:hAnsi="Calibri" w:cs="Calibri"/>
          <w:iCs/>
          <w:sz w:val="20"/>
        </w:rPr>
      </w:pPr>
    </w:p>
    <w:p w:rsidR="00A32E78" w:rsidRPr="006C49EC" w:rsidRDefault="00A32E78" w:rsidP="00D81207">
      <w:pPr>
        <w:ind w:left="7938" w:right="208"/>
        <w:jc w:val="right"/>
        <w:rPr>
          <w:rFonts w:ascii="Calibri" w:hAnsi="Calibri" w:cs="Calibri"/>
          <w:iCs/>
          <w:sz w:val="20"/>
        </w:rPr>
      </w:pPr>
      <w:r w:rsidRPr="006C49EC">
        <w:rPr>
          <w:rFonts w:ascii="Calibri" w:hAnsi="Calibri" w:cs="Calibri"/>
          <w:iCs/>
          <w:sz w:val="20"/>
        </w:rPr>
        <w:t>This publication was funded by the Australian Government</w:t>
      </w:r>
    </w:p>
    <w:p w:rsidR="00A32E78" w:rsidRPr="006C49EC" w:rsidRDefault="00A32E78" w:rsidP="00D81207">
      <w:pPr>
        <w:ind w:left="7938" w:right="208"/>
        <w:jc w:val="right"/>
        <w:rPr>
          <w:rFonts w:ascii="Calibri" w:hAnsi="Calibri" w:cs="Calibri"/>
          <w:sz w:val="20"/>
        </w:rPr>
      </w:pPr>
      <w:r w:rsidRPr="006C49EC">
        <w:rPr>
          <w:rFonts w:ascii="Calibri" w:hAnsi="Calibri" w:cs="Calibri"/>
          <w:iCs/>
          <w:sz w:val="20"/>
        </w:rPr>
        <w:t xml:space="preserve"> through the Workforce Innovation Program under the title</w:t>
      </w:r>
      <w:r w:rsidR="00D81207" w:rsidRPr="006C49EC">
        <w:rPr>
          <w:rFonts w:ascii="Calibri" w:hAnsi="Calibri" w:cs="Calibri"/>
          <w:iCs/>
          <w:sz w:val="20"/>
        </w:rPr>
        <w:br/>
      </w:r>
      <w:r w:rsidRPr="006C49EC">
        <w:rPr>
          <w:rFonts w:ascii="Calibri" w:hAnsi="Calibri" w:cs="Calibri"/>
          <w:iCs/>
          <w:sz w:val="20"/>
        </w:rPr>
        <w:t>'Carbonproof for Foundries'</w:t>
      </w:r>
      <w:r w:rsidRPr="006C49EC">
        <w:rPr>
          <w:rFonts w:ascii="Calibri" w:hAnsi="Calibri" w:cs="Calibri"/>
          <w:sz w:val="20"/>
        </w:rPr>
        <w:t>.</w:t>
      </w:r>
    </w:p>
    <w:p w:rsidR="00A32E78" w:rsidRPr="006C49EC" w:rsidRDefault="00A32E78" w:rsidP="00D81207">
      <w:pPr>
        <w:ind w:left="3686" w:right="208"/>
        <w:jc w:val="right"/>
        <w:rPr>
          <w:rFonts w:ascii="Calibri" w:hAnsi="Calibri" w:cs="Calibri"/>
          <w:sz w:val="20"/>
        </w:rPr>
      </w:pPr>
    </w:p>
    <w:p w:rsidR="00D81207" w:rsidRPr="006C49EC" w:rsidRDefault="00D81207" w:rsidP="00D81207">
      <w:pPr>
        <w:ind w:left="3686" w:right="208"/>
        <w:jc w:val="right"/>
        <w:rPr>
          <w:rFonts w:ascii="Calibri" w:hAnsi="Calibri" w:cs="Calibri"/>
          <w:sz w:val="20"/>
        </w:rPr>
      </w:pPr>
    </w:p>
    <w:p w:rsidR="00E67303" w:rsidRPr="006C49EC" w:rsidRDefault="00E67303" w:rsidP="00D81207">
      <w:pPr>
        <w:ind w:left="3686" w:right="208"/>
        <w:jc w:val="right"/>
        <w:rPr>
          <w:rFonts w:ascii="Calibri" w:hAnsi="Calibri" w:cs="Calibri"/>
          <w:b/>
          <w:iCs/>
          <w:sz w:val="20"/>
        </w:rPr>
      </w:pPr>
      <w:r w:rsidRPr="006C49EC">
        <w:rPr>
          <w:rFonts w:ascii="Calibri" w:hAnsi="Calibri" w:cs="Calibri"/>
          <w:b/>
          <w:iCs/>
          <w:sz w:val="20"/>
        </w:rPr>
        <w:t xml:space="preserve">Embedding Energy Management </w:t>
      </w:r>
      <w:r w:rsidR="00D81207" w:rsidRPr="006C49EC">
        <w:rPr>
          <w:rFonts w:ascii="Calibri" w:hAnsi="Calibri" w:cs="Calibri"/>
          <w:b/>
          <w:iCs/>
          <w:sz w:val="20"/>
        </w:rPr>
        <w:t xml:space="preserve">(EEM) </w:t>
      </w:r>
      <w:r w:rsidRPr="006C49EC">
        <w:rPr>
          <w:rFonts w:ascii="Calibri" w:hAnsi="Calibri" w:cs="Calibri"/>
          <w:b/>
          <w:iCs/>
          <w:sz w:val="20"/>
        </w:rPr>
        <w:t>is available from</w:t>
      </w:r>
      <w:r w:rsidRPr="006C49EC">
        <w:rPr>
          <w:rFonts w:ascii="Calibri" w:hAnsi="Calibri" w:cs="Calibri"/>
          <w:iCs/>
          <w:sz w:val="20"/>
        </w:rPr>
        <w:t xml:space="preserve"> </w:t>
      </w:r>
      <w:r w:rsidRPr="006C49EC">
        <w:rPr>
          <w:rFonts w:ascii="Calibri" w:hAnsi="Calibri" w:cs="Calibri"/>
          <w:b/>
          <w:iCs/>
          <w:sz w:val="20"/>
        </w:rPr>
        <w:t>www.sustainabilityskills.net.au</w:t>
      </w:r>
    </w:p>
    <w:p w:rsidR="00A32E78" w:rsidRPr="006C49EC" w:rsidRDefault="00A32E78" w:rsidP="00D81207">
      <w:pPr>
        <w:ind w:right="208"/>
        <w:jc w:val="right"/>
        <w:rPr>
          <w:rFonts w:ascii="Calibri" w:hAnsi="Calibri" w:cs="Calibri"/>
          <w:sz w:val="20"/>
        </w:rPr>
      </w:pPr>
    </w:p>
    <w:p w:rsidR="00E67303" w:rsidRPr="006C49EC" w:rsidRDefault="00E67303" w:rsidP="00D81207">
      <w:pPr>
        <w:ind w:right="208"/>
        <w:rPr>
          <w:rFonts w:asciiTheme="minorHAnsi" w:hAnsiTheme="minorHAnsi" w:cstheme="minorHAnsi"/>
          <w:b/>
          <w:color w:val="5D0F68"/>
          <w:sz w:val="28"/>
          <w:szCs w:val="22"/>
        </w:rPr>
      </w:pPr>
      <w:r w:rsidRPr="006C49EC">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D81207" w:rsidRPr="006C49EC" w:rsidTr="00081A59">
        <w:trPr>
          <w:trHeight w:val="1178"/>
        </w:trPr>
        <w:tc>
          <w:tcPr>
            <w:tcW w:w="2130" w:type="dxa"/>
          </w:tcPr>
          <w:p w:rsidR="00D81207" w:rsidRPr="006C49EC" w:rsidRDefault="00D81207" w:rsidP="00081A59">
            <w:pPr>
              <w:widowControl w:val="0"/>
              <w:autoSpaceDE w:val="0"/>
              <w:autoSpaceDN w:val="0"/>
              <w:adjustRightInd w:val="0"/>
              <w:spacing w:line="360" w:lineRule="auto"/>
              <w:jc w:val="center"/>
            </w:pPr>
            <w:r w:rsidRPr="006C49EC">
              <w:rPr>
                <w:b/>
                <w:bCs/>
                <w:lang w:val="en-US"/>
              </w:rPr>
              <w:lastRenderedPageBreak/>
              <w:br w:type="page"/>
            </w:r>
            <w:r w:rsidRPr="006C49EC">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58875" r:id="rId13"/>
              </w:object>
            </w:r>
          </w:p>
        </w:tc>
        <w:tc>
          <w:tcPr>
            <w:tcW w:w="6425" w:type="dxa"/>
            <w:shd w:val="clear" w:color="auto" w:fill="auto"/>
            <w:vAlign w:val="center"/>
          </w:tcPr>
          <w:p w:rsidR="00D81207" w:rsidRPr="006C49EC" w:rsidRDefault="00D81207" w:rsidP="00081A59">
            <w:pPr>
              <w:widowControl w:val="0"/>
              <w:autoSpaceDE w:val="0"/>
              <w:autoSpaceDN w:val="0"/>
              <w:adjustRightInd w:val="0"/>
              <w:jc w:val="center"/>
              <w:rPr>
                <w:b/>
              </w:rPr>
            </w:pPr>
            <w:r w:rsidRPr="006C49EC">
              <w:rPr>
                <w:b/>
              </w:rPr>
              <w:t>Free for Education Copying</w:t>
            </w:r>
          </w:p>
          <w:p w:rsidR="00D81207" w:rsidRPr="006C49EC" w:rsidRDefault="009D4119" w:rsidP="00081A59">
            <w:pPr>
              <w:widowControl w:val="0"/>
              <w:autoSpaceDE w:val="0"/>
              <w:autoSpaceDN w:val="0"/>
              <w:adjustRightInd w:val="0"/>
              <w:spacing w:line="360" w:lineRule="auto"/>
              <w:jc w:val="center"/>
              <w:rPr>
                <w:b/>
                <w:i/>
              </w:rPr>
            </w:pPr>
            <w:hyperlink r:id="rId14" w:history="1">
              <w:r w:rsidR="00D81207" w:rsidRPr="006C49EC">
                <w:rPr>
                  <w:rStyle w:val="Hyperlink"/>
                  <w:b w:val="0"/>
                  <w:color w:val="0000CC"/>
                </w:rPr>
                <w:t>www.mskills.com.au</w:t>
              </w:r>
            </w:hyperlink>
          </w:p>
        </w:tc>
      </w:tr>
    </w:tbl>
    <w:p w:rsidR="00D81207" w:rsidRPr="006C49EC" w:rsidRDefault="00D81207" w:rsidP="00D81207">
      <w:pPr>
        <w:autoSpaceDE w:val="0"/>
        <w:autoSpaceDN w:val="0"/>
        <w:adjustRightInd w:val="0"/>
        <w:jc w:val="both"/>
        <w:rPr>
          <w:color w:val="000000"/>
          <w:sz w:val="16"/>
          <w:szCs w:val="16"/>
        </w:rPr>
      </w:pP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color w:val="000000"/>
          <w:sz w:val="16"/>
          <w:szCs w:val="16"/>
        </w:rPr>
        <w:t xml:space="preserve">This work is copyright and licensed under the MSA Free for Education Copying instant licence (MSA Licence). </w:t>
      </w: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D81207" w:rsidRPr="006C49EC" w:rsidRDefault="00D81207" w:rsidP="00D81207">
      <w:pPr>
        <w:autoSpaceDE w:val="0"/>
        <w:autoSpaceDN w:val="0"/>
        <w:adjustRightInd w:val="0"/>
        <w:jc w:val="both"/>
        <w:rPr>
          <w:rFonts w:asciiTheme="minorHAnsi" w:hAnsiTheme="minorHAnsi"/>
          <w:b/>
          <w:bCs/>
          <w:color w:val="000000"/>
          <w:sz w:val="16"/>
          <w:szCs w:val="16"/>
        </w:rPr>
      </w:pPr>
      <w:r w:rsidRPr="006C49EC">
        <w:rPr>
          <w:rFonts w:asciiTheme="minorHAnsi" w:hAnsiTheme="minorHAnsi"/>
          <w:b/>
          <w:bCs/>
          <w:color w:val="000000"/>
          <w:sz w:val="16"/>
          <w:szCs w:val="16"/>
        </w:rPr>
        <w:t>Individual learners may:</w:t>
      </w:r>
    </w:p>
    <w:p w:rsidR="00D81207" w:rsidRPr="006C49EC" w:rsidRDefault="00D81207" w:rsidP="00D81207">
      <w:pPr>
        <w:pStyle w:val="ListParagraph"/>
        <w:numPr>
          <w:ilvl w:val="0"/>
          <w:numId w:val="34"/>
        </w:numPr>
        <w:autoSpaceDE w:val="0"/>
        <w:autoSpaceDN w:val="0"/>
        <w:adjustRightInd w:val="0"/>
        <w:spacing w:before="0"/>
        <w:contextualSpacing/>
        <w:jc w:val="both"/>
        <w:rPr>
          <w:color w:val="000000"/>
          <w:sz w:val="16"/>
          <w:szCs w:val="16"/>
        </w:rPr>
      </w:pPr>
      <w:r w:rsidRPr="006C49EC">
        <w:rPr>
          <w:color w:val="000000"/>
          <w:sz w:val="16"/>
          <w:szCs w:val="16"/>
        </w:rPr>
        <w:t>use the material personally for their education such as including it, with proper attribution, in work that is performed in the course of that education; and</w:t>
      </w:r>
    </w:p>
    <w:p w:rsidR="00D81207" w:rsidRPr="006C49EC" w:rsidRDefault="00D81207" w:rsidP="00D81207">
      <w:pPr>
        <w:pStyle w:val="ListParagraph"/>
        <w:numPr>
          <w:ilvl w:val="0"/>
          <w:numId w:val="34"/>
        </w:numPr>
        <w:autoSpaceDE w:val="0"/>
        <w:autoSpaceDN w:val="0"/>
        <w:adjustRightInd w:val="0"/>
        <w:spacing w:before="0"/>
        <w:contextualSpacing/>
        <w:jc w:val="both"/>
        <w:rPr>
          <w:color w:val="000000"/>
          <w:sz w:val="16"/>
          <w:szCs w:val="16"/>
        </w:rPr>
      </w:pPr>
      <w:r w:rsidRPr="006C49EC">
        <w:rPr>
          <w:color w:val="000000"/>
          <w:sz w:val="16"/>
          <w:szCs w:val="16"/>
        </w:rPr>
        <w:t>make unlimited copies, in whole or in part, of the material.</w:t>
      </w:r>
      <w:r w:rsidRPr="006C49EC">
        <w:rPr>
          <w:sz w:val="16"/>
          <w:szCs w:val="16"/>
          <w:lang w:val="en-US"/>
        </w:rPr>
        <w:t xml:space="preserve"> </w:t>
      </w:r>
    </w:p>
    <w:p w:rsidR="00D81207" w:rsidRPr="006C49EC" w:rsidRDefault="00D81207" w:rsidP="00D81207">
      <w:pPr>
        <w:autoSpaceDE w:val="0"/>
        <w:autoSpaceDN w:val="0"/>
        <w:adjustRightInd w:val="0"/>
        <w:jc w:val="both"/>
        <w:rPr>
          <w:rFonts w:asciiTheme="minorHAnsi" w:hAnsiTheme="minorHAnsi"/>
          <w:b/>
          <w:bCs/>
          <w:color w:val="000000"/>
          <w:sz w:val="16"/>
          <w:szCs w:val="16"/>
        </w:rPr>
      </w:pPr>
      <w:r w:rsidRPr="006C49EC">
        <w:rPr>
          <w:rFonts w:asciiTheme="minorHAnsi" w:hAnsiTheme="minorHAnsi"/>
          <w:b/>
          <w:bCs/>
          <w:color w:val="000000"/>
          <w:sz w:val="16"/>
          <w:szCs w:val="16"/>
        </w:rPr>
        <w:t>Education Providers or Other Organisations may:</w:t>
      </w:r>
    </w:p>
    <w:p w:rsidR="00D81207" w:rsidRPr="006C49EC" w:rsidRDefault="00D81207" w:rsidP="00D81207">
      <w:pPr>
        <w:pStyle w:val="ListParagraph"/>
        <w:numPr>
          <w:ilvl w:val="0"/>
          <w:numId w:val="35"/>
        </w:numPr>
        <w:autoSpaceDE w:val="0"/>
        <w:autoSpaceDN w:val="0"/>
        <w:adjustRightInd w:val="0"/>
        <w:spacing w:before="0"/>
        <w:contextualSpacing/>
        <w:jc w:val="both"/>
        <w:rPr>
          <w:color w:val="000000"/>
          <w:sz w:val="16"/>
          <w:szCs w:val="16"/>
        </w:rPr>
      </w:pPr>
      <w:r w:rsidRPr="006C49EC">
        <w:rPr>
          <w:color w:val="000000"/>
          <w:sz w:val="16"/>
          <w:szCs w:val="16"/>
        </w:rPr>
        <w:t>use the material within the organisation or for the services provided by the organisation;</w:t>
      </w:r>
    </w:p>
    <w:p w:rsidR="00D81207" w:rsidRPr="006C49EC" w:rsidRDefault="00D81207" w:rsidP="00D81207">
      <w:pPr>
        <w:pStyle w:val="ListParagraph"/>
        <w:numPr>
          <w:ilvl w:val="0"/>
          <w:numId w:val="35"/>
        </w:numPr>
        <w:autoSpaceDE w:val="0"/>
        <w:autoSpaceDN w:val="0"/>
        <w:adjustRightInd w:val="0"/>
        <w:spacing w:before="0"/>
        <w:contextualSpacing/>
        <w:jc w:val="both"/>
        <w:rPr>
          <w:color w:val="000000"/>
          <w:sz w:val="16"/>
          <w:szCs w:val="16"/>
        </w:rPr>
      </w:pPr>
      <w:r w:rsidRPr="006C49EC">
        <w:rPr>
          <w:color w:val="000000"/>
          <w:sz w:val="16"/>
          <w:szCs w:val="16"/>
        </w:rPr>
        <w:t>make or give copies to learners;</w:t>
      </w:r>
    </w:p>
    <w:p w:rsidR="00D81207" w:rsidRPr="006C49EC" w:rsidRDefault="00D81207" w:rsidP="00D81207">
      <w:pPr>
        <w:pStyle w:val="ListParagraph"/>
        <w:numPr>
          <w:ilvl w:val="0"/>
          <w:numId w:val="35"/>
        </w:numPr>
        <w:autoSpaceDE w:val="0"/>
        <w:autoSpaceDN w:val="0"/>
        <w:adjustRightInd w:val="0"/>
        <w:spacing w:before="0"/>
        <w:contextualSpacing/>
        <w:jc w:val="both"/>
        <w:rPr>
          <w:color w:val="000000"/>
          <w:sz w:val="16"/>
          <w:szCs w:val="16"/>
        </w:rPr>
      </w:pPr>
      <w:r w:rsidRPr="006C49EC">
        <w:rPr>
          <w:color w:val="000000"/>
          <w:sz w:val="16"/>
          <w:szCs w:val="16"/>
        </w:rPr>
        <w:t>charge for the education provided; and</w:t>
      </w:r>
    </w:p>
    <w:p w:rsidR="00D81207" w:rsidRPr="006C49EC" w:rsidRDefault="00D81207" w:rsidP="00D81207">
      <w:pPr>
        <w:pStyle w:val="ListParagraph"/>
        <w:numPr>
          <w:ilvl w:val="0"/>
          <w:numId w:val="35"/>
        </w:numPr>
        <w:autoSpaceDE w:val="0"/>
        <w:autoSpaceDN w:val="0"/>
        <w:adjustRightInd w:val="0"/>
        <w:spacing w:before="0"/>
        <w:contextualSpacing/>
        <w:jc w:val="both"/>
        <w:rPr>
          <w:color w:val="000000"/>
          <w:sz w:val="16"/>
          <w:szCs w:val="16"/>
        </w:rPr>
      </w:pPr>
      <w:r w:rsidRPr="006C49EC">
        <w:rPr>
          <w:color w:val="000000"/>
          <w:sz w:val="16"/>
          <w:szCs w:val="16"/>
        </w:rPr>
        <w:t>charge learners for the material on a cost-recovery basis.</w:t>
      </w: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color w:val="000000"/>
          <w:sz w:val="16"/>
          <w:szCs w:val="16"/>
        </w:rPr>
        <w:t xml:space="preserve">Queries regarding the MSA Licence conditions should be directed through the MSA website at </w:t>
      </w:r>
      <w:hyperlink r:id="rId15" w:history="1">
        <w:r w:rsidRPr="006C49EC">
          <w:rPr>
            <w:rStyle w:val="Hyperlink"/>
            <w:sz w:val="16"/>
            <w:szCs w:val="16"/>
          </w:rPr>
          <w:t>www.mskills.com.au</w:t>
        </w:r>
      </w:hyperlink>
      <w:r w:rsidRPr="006C49EC">
        <w:rPr>
          <w:rFonts w:asciiTheme="minorHAnsi" w:hAnsiTheme="minorHAnsi"/>
          <w:color w:val="000000"/>
          <w:sz w:val="16"/>
          <w:szCs w:val="16"/>
        </w:rPr>
        <w:t xml:space="preserve"> </w:t>
      </w: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color w:val="000000"/>
          <w:sz w:val="16"/>
          <w:szCs w:val="16"/>
        </w:rPr>
        <w:t xml:space="preserve">In addition to the standard MSA Licence conditions, the following </w:t>
      </w:r>
      <w:r w:rsidRPr="006C49EC">
        <w:rPr>
          <w:rFonts w:asciiTheme="minorHAnsi" w:hAnsiTheme="minorHAnsi"/>
          <w:b/>
          <w:bCs/>
          <w:color w:val="000000"/>
          <w:sz w:val="16"/>
          <w:szCs w:val="16"/>
        </w:rPr>
        <w:t xml:space="preserve">special conditions </w:t>
      </w:r>
      <w:r w:rsidRPr="006C49EC">
        <w:rPr>
          <w:rFonts w:asciiTheme="minorHAnsi" w:hAnsiTheme="minorHAnsi"/>
          <w:color w:val="000000"/>
          <w:sz w:val="16"/>
          <w:szCs w:val="16"/>
        </w:rPr>
        <w:t>apply:</w:t>
      </w:r>
    </w:p>
    <w:p w:rsidR="00D81207" w:rsidRPr="006C49EC" w:rsidRDefault="00D81207" w:rsidP="00D81207">
      <w:pPr>
        <w:pStyle w:val="ListParagraph"/>
        <w:numPr>
          <w:ilvl w:val="0"/>
          <w:numId w:val="36"/>
        </w:numPr>
        <w:autoSpaceDE w:val="0"/>
        <w:autoSpaceDN w:val="0"/>
        <w:adjustRightInd w:val="0"/>
        <w:spacing w:before="0"/>
        <w:contextualSpacing/>
        <w:jc w:val="both"/>
        <w:rPr>
          <w:color w:val="000000"/>
          <w:sz w:val="16"/>
          <w:szCs w:val="16"/>
        </w:rPr>
      </w:pPr>
      <w:r w:rsidRPr="006C49EC">
        <w:rPr>
          <w:color w:val="000000"/>
          <w:sz w:val="16"/>
          <w:szCs w:val="16"/>
        </w:rPr>
        <w:t>Territory: The copyright work must only be used in Australia and New Zealand.</w:t>
      </w:r>
    </w:p>
    <w:p w:rsidR="00D81207" w:rsidRPr="006C49EC" w:rsidRDefault="00D81207" w:rsidP="00D81207">
      <w:pPr>
        <w:pStyle w:val="ListParagraph"/>
        <w:numPr>
          <w:ilvl w:val="0"/>
          <w:numId w:val="36"/>
        </w:numPr>
        <w:autoSpaceDE w:val="0"/>
        <w:autoSpaceDN w:val="0"/>
        <w:adjustRightInd w:val="0"/>
        <w:spacing w:before="0"/>
        <w:contextualSpacing/>
        <w:jc w:val="both"/>
        <w:rPr>
          <w:color w:val="000000"/>
          <w:sz w:val="16"/>
          <w:szCs w:val="16"/>
        </w:rPr>
      </w:pPr>
      <w:r w:rsidRPr="006C49EC">
        <w:rPr>
          <w:color w:val="000000"/>
          <w:sz w:val="16"/>
          <w:szCs w:val="16"/>
        </w:rPr>
        <w:t>Development Rights: Licensees are permitted to develop either an Edited Version or Enhancements of the Licensed Material for individual organisation purposes.</w:t>
      </w:r>
    </w:p>
    <w:p w:rsidR="00D81207" w:rsidRPr="006C49EC" w:rsidRDefault="00D81207" w:rsidP="00D81207">
      <w:pPr>
        <w:autoSpaceDE w:val="0"/>
        <w:autoSpaceDN w:val="0"/>
        <w:adjustRightInd w:val="0"/>
        <w:jc w:val="both"/>
        <w:rPr>
          <w:rFonts w:asciiTheme="minorHAnsi" w:hAnsiTheme="minorHAnsi"/>
          <w:b/>
          <w:bCs/>
          <w:color w:val="000000"/>
          <w:sz w:val="16"/>
          <w:szCs w:val="16"/>
        </w:rPr>
      </w:pPr>
      <w:r w:rsidRPr="006C49EC">
        <w:rPr>
          <w:rFonts w:asciiTheme="minorHAnsi" w:hAnsiTheme="minorHAnsi"/>
          <w:b/>
          <w:bCs/>
          <w:color w:val="000000"/>
          <w:sz w:val="16"/>
          <w:szCs w:val="16"/>
        </w:rPr>
        <w:t>Disclaimer</w:t>
      </w: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D81207" w:rsidRPr="006C49EC" w:rsidRDefault="00D81207" w:rsidP="00D81207">
      <w:pPr>
        <w:autoSpaceDE w:val="0"/>
        <w:autoSpaceDN w:val="0"/>
        <w:adjustRightInd w:val="0"/>
        <w:jc w:val="both"/>
        <w:rPr>
          <w:rFonts w:asciiTheme="minorHAnsi" w:hAnsiTheme="minorHAnsi"/>
          <w:color w:val="000000"/>
          <w:sz w:val="16"/>
          <w:szCs w:val="16"/>
        </w:rPr>
      </w:pPr>
      <w:r w:rsidRPr="006C49EC">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6C49EC">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0F4572" w:rsidRPr="006C49EC" w:rsidRDefault="000F4572" w:rsidP="00D81207">
      <w:pPr>
        <w:autoSpaceDE w:val="0"/>
        <w:autoSpaceDN w:val="0"/>
        <w:adjustRightInd w:val="0"/>
        <w:jc w:val="both"/>
        <w:rPr>
          <w:rFonts w:asciiTheme="minorHAnsi" w:hAnsiTheme="minorHAnsi"/>
          <w:color w:val="000000"/>
          <w:sz w:val="16"/>
          <w:szCs w:val="16"/>
        </w:rPr>
      </w:pPr>
    </w:p>
    <w:p w:rsidR="00D81207" w:rsidRPr="006C49EC" w:rsidRDefault="00D81207" w:rsidP="00D81207">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Published by:</w:t>
      </w:r>
    </w:p>
    <w:tbl>
      <w:tblPr>
        <w:tblW w:w="0" w:type="auto"/>
        <w:tblLook w:val="04A0" w:firstRow="1" w:lastRow="0" w:firstColumn="1" w:lastColumn="0" w:noHBand="0" w:noVBand="1"/>
      </w:tblPr>
      <w:tblGrid>
        <w:gridCol w:w="7479"/>
      </w:tblGrid>
      <w:tr w:rsidR="000F4572" w:rsidRPr="006C49EC" w:rsidTr="000F4572">
        <w:tc>
          <w:tcPr>
            <w:tcW w:w="7479" w:type="dxa"/>
          </w:tcPr>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Manufacturing Skills Australia</w:t>
            </w:r>
          </w:p>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Level 3, 104 Mount Street</w:t>
            </w:r>
          </w:p>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North Sydney NSW 2060</w:t>
            </w:r>
          </w:p>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ABN:</w:t>
            </w:r>
            <w:r w:rsidRPr="006C49EC">
              <w:rPr>
                <w:rFonts w:asciiTheme="minorHAnsi" w:hAnsiTheme="minorHAnsi"/>
                <w:i/>
                <w:sz w:val="16"/>
                <w:szCs w:val="16"/>
              </w:rPr>
              <w:t xml:space="preserve"> </w:t>
            </w:r>
            <w:r w:rsidRPr="006C49EC">
              <w:rPr>
                <w:rFonts w:asciiTheme="minorHAnsi" w:hAnsiTheme="minorHAnsi"/>
                <w:sz w:val="16"/>
                <w:szCs w:val="16"/>
              </w:rPr>
              <w:t>88 006 441 685</w:t>
            </w:r>
          </w:p>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Phone: (02) 9955 5500</w:t>
            </w:r>
          </w:p>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Fax: (02) 9955 8044</w:t>
            </w:r>
          </w:p>
          <w:p w:rsidR="000F4572" w:rsidRPr="006C49EC" w:rsidRDefault="000F4572" w:rsidP="00081A59">
            <w:pPr>
              <w:autoSpaceDE w:val="0"/>
              <w:autoSpaceDN w:val="0"/>
              <w:adjustRightInd w:val="0"/>
              <w:rPr>
                <w:rFonts w:asciiTheme="minorHAnsi" w:hAnsiTheme="minorHAnsi"/>
                <w:color w:val="000000"/>
                <w:sz w:val="16"/>
                <w:szCs w:val="16"/>
              </w:rPr>
            </w:pPr>
            <w:r w:rsidRPr="006C49EC">
              <w:rPr>
                <w:rFonts w:asciiTheme="minorHAnsi" w:hAnsiTheme="minorHAnsi"/>
                <w:color w:val="000000"/>
                <w:sz w:val="16"/>
                <w:szCs w:val="16"/>
              </w:rPr>
              <w:t xml:space="preserve">Website: </w:t>
            </w:r>
            <w:hyperlink r:id="rId16" w:history="1">
              <w:r w:rsidRPr="006C49EC">
                <w:rPr>
                  <w:rStyle w:val="Hyperlink"/>
                  <w:sz w:val="16"/>
                  <w:szCs w:val="16"/>
                </w:rPr>
                <w:t>http://www.mskills.com.au</w:t>
              </w:r>
            </w:hyperlink>
            <w:r w:rsidRPr="006C49EC">
              <w:rPr>
                <w:rFonts w:asciiTheme="minorHAnsi" w:hAnsiTheme="minorHAnsi"/>
                <w:color w:val="000000"/>
                <w:sz w:val="16"/>
                <w:szCs w:val="16"/>
              </w:rPr>
              <w:t xml:space="preserve"> </w:t>
            </w:r>
          </w:p>
          <w:p w:rsidR="000F4572" w:rsidRPr="006C49EC" w:rsidRDefault="000F4572" w:rsidP="00081A59">
            <w:pPr>
              <w:autoSpaceDE w:val="0"/>
              <w:autoSpaceDN w:val="0"/>
              <w:adjustRightInd w:val="0"/>
              <w:rPr>
                <w:rFonts w:asciiTheme="minorHAnsi" w:hAnsiTheme="minorHAnsi"/>
                <w:color w:val="000000"/>
                <w:sz w:val="16"/>
                <w:szCs w:val="16"/>
              </w:rPr>
            </w:pPr>
          </w:p>
          <w:p w:rsidR="000F4572" w:rsidRPr="006C49EC" w:rsidRDefault="000F4572" w:rsidP="00081A59">
            <w:pPr>
              <w:autoSpaceDE w:val="0"/>
              <w:autoSpaceDN w:val="0"/>
              <w:adjustRightInd w:val="0"/>
              <w:rPr>
                <w:rFonts w:asciiTheme="minorHAnsi" w:hAnsiTheme="minorHAnsi"/>
                <w:sz w:val="16"/>
                <w:szCs w:val="16"/>
              </w:rPr>
            </w:pPr>
            <w:r w:rsidRPr="006C49EC">
              <w:rPr>
                <w:rFonts w:asciiTheme="minorHAnsi" w:hAnsiTheme="minorHAnsi"/>
                <w:color w:val="000000"/>
                <w:sz w:val="16"/>
                <w:szCs w:val="16"/>
              </w:rPr>
              <w:t>First published: 2013</w:t>
            </w:r>
          </w:p>
        </w:tc>
      </w:tr>
    </w:tbl>
    <w:p w:rsidR="007C6896" w:rsidRPr="006C49EC" w:rsidRDefault="007C6896">
      <w:pPr>
        <w:rPr>
          <w:rFonts w:asciiTheme="minorHAnsi" w:hAnsiTheme="minorHAnsi" w:cstheme="minorHAnsi"/>
          <w:b/>
          <w:color w:val="5D0F68"/>
          <w:sz w:val="28"/>
          <w:szCs w:val="22"/>
        </w:rPr>
      </w:pPr>
      <w:r w:rsidRPr="006C49EC">
        <w:br w:type="page"/>
      </w:r>
    </w:p>
    <w:p w:rsidR="004D1E7E" w:rsidRPr="006C49EC" w:rsidRDefault="0046251F" w:rsidP="00E15FF6">
      <w:pPr>
        <w:pStyle w:val="ContentsHeading1"/>
      </w:pPr>
      <w:r w:rsidRPr="006C49EC">
        <w:lastRenderedPageBreak/>
        <w:t>Contents</w:t>
      </w:r>
    </w:p>
    <w:p w:rsidR="00455C6F" w:rsidRPr="006C49EC" w:rsidRDefault="00455C6F" w:rsidP="00212803">
      <w:pPr>
        <w:rPr>
          <w:rFonts w:asciiTheme="minorHAnsi" w:hAnsiTheme="minorHAnsi" w:cstheme="minorHAnsi"/>
          <w:b/>
          <w:sz w:val="22"/>
          <w:szCs w:val="22"/>
        </w:rPr>
      </w:pPr>
    </w:p>
    <w:bookmarkStart w:id="0" w:name="_GoBack"/>
    <w:bookmarkEnd w:id="0"/>
    <w:p w:rsidR="00D24C10" w:rsidRDefault="00DE0D98">
      <w:pPr>
        <w:pStyle w:val="TOC1"/>
        <w:rPr>
          <w:rFonts w:eastAsiaTheme="minorEastAsia" w:cstheme="minorBidi"/>
          <w:b w:val="0"/>
          <w:szCs w:val="22"/>
        </w:rPr>
      </w:pPr>
      <w:r w:rsidRPr="006C49EC">
        <w:rPr>
          <w:rFonts w:cstheme="minorHAnsi"/>
          <w:szCs w:val="22"/>
        </w:rPr>
        <w:fldChar w:fldCharType="begin"/>
      </w:r>
      <w:r w:rsidR="004B1B20" w:rsidRPr="006C49EC">
        <w:rPr>
          <w:rFonts w:cstheme="minorHAnsi"/>
          <w:szCs w:val="22"/>
        </w:rPr>
        <w:instrText xml:space="preserve"> TOC \o "1-3" \h \z \u </w:instrText>
      </w:r>
      <w:r w:rsidRPr="006C49EC">
        <w:rPr>
          <w:rFonts w:cstheme="minorHAnsi"/>
          <w:szCs w:val="22"/>
        </w:rPr>
        <w:fldChar w:fldCharType="separate"/>
      </w:r>
      <w:hyperlink w:anchor="_Toc359317036" w:history="1">
        <w:r w:rsidR="00D24C10" w:rsidRPr="005A3896">
          <w:rPr>
            <w:rStyle w:val="Hyperlink"/>
          </w:rPr>
          <w:t>1</w:t>
        </w:r>
        <w:r w:rsidR="00D24C10">
          <w:rPr>
            <w:rFonts w:eastAsiaTheme="minorEastAsia" w:cstheme="minorBidi"/>
            <w:b w:val="0"/>
            <w:szCs w:val="22"/>
          </w:rPr>
          <w:tab/>
        </w:r>
        <w:r w:rsidR="00D24C10" w:rsidRPr="005A3896">
          <w:rPr>
            <w:rStyle w:val="Hyperlink"/>
          </w:rPr>
          <w:t>Purpose of this guide</w:t>
        </w:r>
        <w:r w:rsidR="00D24C10">
          <w:rPr>
            <w:webHidden/>
          </w:rPr>
          <w:tab/>
        </w:r>
        <w:r w:rsidR="00D24C10">
          <w:rPr>
            <w:webHidden/>
          </w:rPr>
          <w:fldChar w:fldCharType="begin"/>
        </w:r>
        <w:r w:rsidR="00D24C10">
          <w:rPr>
            <w:webHidden/>
          </w:rPr>
          <w:instrText xml:space="preserve"> PAGEREF _Toc359317036 \h </w:instrText>
        </w:r>
        <w:r w:rsidR="00D24C10">
          <w:rPr>
            <w:webHidden/>
          </w:rPr>
        </w:r>
        <w:r w:rsidR="00D24C10">
          <w:rPr>
            <w:webHidden/>
          </w:rPr>
          <w:fldChar w:fldCharType="separate"/>
        </w:r>
        <w:r w:rsidR="00D24C10">
          <w:rPr>
            <w:webHidden/>
          </w:rPr>
          <w:t>1</w:t>
        </w:r>
        <w:r w:rsidR="00D24C10">
          <w:rPr>
            <w:webHidden/>
          </w:rPr>
          <w:fldChar w:fldCharType="end"/>
        </w:r>
      </w:hyperlink>
    </w:p>
    <w:p w:rsidR="00D24C10" w:rsidRDefault="00D24C10">
      <w:pPr>
        <w:pStyle w:val="TOC1"/>
        <w:rPr>
          <w:rFonts w:eastAsiaTheme="minorEastAsia" w:cstheme="minorBidi"/>
          <w:b w:val="0"/>
          <w:szCs w:val="22"/>
        </w:rPr>
      </w:pPr>
      <w:hyperlink w:anchor="_Toc359317037" w:history="1">
        <w:r w:rsidRPr="005A3896">
          <w:rPr>
            <w:rStyle w:val="Hyperlink"/>
          </w:rPr>
          <w:t>2</w:t>
        </w:r>
        <w:r>
          <w:rPr>
            <w:rFonts w:eastAsiaTheme="minorEastAsia" w:cstheme="minorBidi"/>
            <w:b w:val="0"/>
            <w:szCs w:val="22"/>
          </w:rPr>
          <w:tab/>
        </w:r>
        <w:r w:rsidRPr="005A3896">
          <w:rPr>
            <w:rStyle w:val="Hyperlink"/>
          </w:rPr>
          <w:t>Who will benefit from this guide?</w:t>
        </w:r>
        <w:r>
          <w:rPr>
            <w:webHidden/>
          </w:rPr>
          <w:tab/>
        </w:r>
        <w:r>
          <w:rPr>
            <w:webHidden/>
          </w:rPr>
          <w:fldChar w:fldCharType="begin"/>
        </w:r>
        <w:r>
          <w:rPr>
            <w:webHidden/>
          </w:rPr>
          <w:instrText xml:space="preserve"> PAGEREF _Toc359317037 \h </w:instrText>
        </w:r>
        <w:r>
          <w:rPr>
            <w:webHidden/>
          </w:rPr>
        </w:r>
        <w:r>
          <w:rPr>
            <w:webHidden/>
          </w:rPr>
          <w:fldChar w:fldCharType="separate"/>
        </w:r>
        <w:r>
          <w:rPr>
            <w:webHidden/>
          </w:rPr>
          <w:t>1</w:t>
        </w:r>
        <w:r>
          <w:rPr>
            <w:webHidden/>
          </w:rPr>
          <w:fldChar w:fldCharType="end"/>
        </w:r>
      </w:hyperlink>
    </w:p>
    <w:p w:rsidR="00D24C10" w:rsidRDefault="00D24C10">
      <w:pPr>
        <w:pStyle w:val="TOC1"/>
        <w:rPr>
          <w:rFonts w:eastAsiaTheme="minorEastAsia" w:cstheme="minorBidi"/>
          <w:b w:val="0"/>
          <w:szCs w:val="22"/>
        </w:rPr>
      </w:pPr>
      <w:hyperlink w:anchor="_Toc359317038" w:history="1">
        <w:r w:rsidRPr="005A3896">
          <w:rPr>
            <w:rStyle w:val="Hyperlink"/>
          </w:rPr>
          <w:t>3</w:t>
        </w:r>
        <w:r>
          <w:rPr>
            <w:rFonts w:eastAsiaTheme="minorEastAsia" w:cstheme="minorBidi"/>
            <w:b w:val="0"/>
            <w:szCs w:val="22"/>
          </w:rPr>
          <w:tab/>
        </w:r>
        <w:r w:rsidRPr="005A3896">
          <w:rPr>
            <w:rStyle w:val="Hyperlink"/>
          </w:rPr>
          <w:t>Business drivers creating focus on energy management</w:t>
        </w:r>
        <w:r>
          <w:rPr>
            <w:webHidden/>
          </w:rPr>
          <w:tab/>
        </w:r>
        <w:r>
          <w:rPr>
            <w:webHidden/>
          </w:rPr>
          <w:fldChar w:fldCharType="begin"/>
        </w:r>
        <w:r>
          <w:rPr>
            <w:webHidden/>
          </w:rPr>
          <w:instrText xml:space="preserve"> PAGEREF _Toc359317038 \h </w:instrText>
        </w:r>
        <w:r>
          <w:rPr>
            <w:webHidden/>
          </w:rPr>
        </w:r>
        <w:r>
          <w:rPr>
            <w:webHidden/>
          </w:rPr>
          <w:fldChar w:fldCharType="separate"/>
        </w:r>
        <w:r>
          <w:rPr>
            <w:webHidden/>
          </w:rPr>
          <w:t>1</w:t>
        </w:r>
        <w:r>
          <w:rPr>
            <w:webHidden/>
          </w:rPr>
          <w:fldChar w:fldCharType="end"/>
        </w:r>
      </w:hyperlink>
    </w:p>
    <w:p w:rsidR="00D24C10" w:rsidRDefault="00D24C10">
      <w:pPr>
        <w:pStyle w:val="TOC1"/>
        <w:rPr>
          <w:rFonts w:eastAsiaTheme="minorEastAsia" w:cstheme="minorBidi"/>
          <w:b w:val="0"/>
          <w:szCs w:val="22"/>
        </w:rPr>
      </w:pPr>
      <w:hyperlink w:anchor="_Toc359317039" w:history="1">
        <w:r w:rsidRPr="005A3896">
          <w:rPr>
            <w:rStyle w:val="Hyperlink"/>
          </w:rPr>
          <w:t>4</w:t>
        </w:r>
        <w:r>
          <w:rPr>
            <w:rFonts w:eastAsiaTheme="minorEastAsia" w:cstheme="minorBidi"/>
            <w:b w:val="0"/>
            <w:szCs w:val="22"/>
          </w:rPr>
          <w:tab/>
        </w:r>
        <w:r w:rsidRPr="005A3896">
          <w:rPr>
            <w:rStyle w:val="Hyperlink"/>
          </w:rPr>
          <w:t>Integrating energy and related trends into business plans</w:t>
        </w:r>
        <w:r>
          <w:rPr>
            <w:webHidden/>
          </w:rPr>
          <w:tab/>
        </w:r>
        <w:r>
          <w:rPr>
            <w:webHidden/>
          </w:rPr>
          <w:fldChar w:fldCharType="begin"/>
        </w:r>
        <w:r>
          <w:rPr>
            <w:webHidden/>
          </w:rPr>
          <w:instrText xml:space="preserve"> PAGEREF _Toc359317039 \h </w:instrText>
        </w:r>
        <w:r>
          <w:rPr>
            <w:webHidden/>
          </w:rPr>
        </w:r>
        <w:r>
          <w:rPr>
            <w:webHidden/>
          </w:rPr>
          <w:fldChar w:fldCharType="separate"/>
        </w:r>
        <w:r>
          <w:rPr>
            <w:webHidden/>
          </w:rPr>
          <w:t>2</w:t>
        </w:r>
        <w:r>
          <w:rPr>
            <w:webHidden/>
          </w:rPr>
          <w:fldChar w:fldCharType="end"/>
        </w:r>
      </w:hyperlink>
    </w:p>
    <w:p w:rsidR="00D24C10" w:rsidRDefault="00D24C10">
      <w:pPr>
        <w:pStyle w:val="TOC2"/>
        <w:rPr>
          <w:rFonts w:eastAsiaTheme="minorEastAsia" w:cstheme="minorBidi"/>
          <w:szCs w:val="22"/>
        </w:rPr>
      </w:pPr>
      <w:hyperlink w:anchor="_Toc359317040" w:history="1">
        <w:r w:rsidRPr="005A3896">
          <w:rPr>
            <w:rStyle w:val="Hyperlink"/>
          </w:rPr>
          <w:t>4.1</w:t>
        </w:r>
        <w:r>
          <w:rPr>
            <w:rFonts w:eastAsiaTheme="minorEastAsia" w:cstheme="minorBidi"/>
            <w:szCs w:val="22"/>
          </w:rPr>
          <w:tab/>
        </w:r>
        <w:r w:rsidRPr="005A3896">
          <w:rPr>
            <w:rStyle w:val="Hyperlink"/>
          </w:rPr>
          <w:t>Case study -  X &amp; Co Casting</w:t>
        </w:r>
        <w:r>
          <w:rPr>
            <w:webHidden/>
          </w:rPr>
          <w:tab/>
        </w:r>
        <w:r>
          <w:rPr>
            <w:webHidden/>
          </w:rPr>
          <w:fldChar w:fldCharType="begin"/>
        </w:r>
        <w:r>
          <w:rPr>
            <w:webHidden/>
          </w:rPr>
          <w:instrText xml:space="preserve"> PAGEREF _Toc359317040 \h </w:instrText>
        </w:r>
        <w:r>
          <w:rPr>
            <w:webHidden/>
          </w:rPr>
        </w:r>
        <w:r>
          <w:rPr>
            <w:webHidden/>
          </w:rPr>
          <w:fldChar w:fldCharType="separate"/>
        </w:r>
        <w:r>
          <w:rPr>
            <w:webHidden/>
          </w:rPr>
          <w:t>3</w:t>
        </w:r>
        <w:r>
          <w:rPr>
            <w:webHidden/>
          </w:rPr>
          <w:fldChar w:fldCharType="end"/>
        </w:r>
      </w:hyperlink>
    </w:p>
    <w:p w:rsidR="00D24C10" w:rsidRDefault="00D24C10">
      <w:pPr>
        <w:pStyle w:val="TOC2"/>
        <w:rPr>
          <w:rFonts w:eastAsiaTheme="minorEastAsia" w:cstheme="minorBidi"/>
          <w:szCs w:val="22"/>
        </w:rPr>
      </w:pPr>
      <w:hyperlink w:anchor="_Toc359317041" w:history="1">
        <w:r w:rsidRPr="005A3896">
          <w:rPr>
            <w:rStyle w:val="Hyperlink"/>
          </w:rPr>
          <w:t>4.2</w:t>
        </w:r>
        <w:r>
          <w:rPr>
            <w:rFonts w:eastAsiaTheme="minorEastAsia" w:cstheme="minorBidi"/>
            <w:szCs w:val="22"/>
          </w:rPr>
          <w:tab/>
        </w:r>
        <w:r w:rsidRPr="005A3896">
          <w:rPr>
            <w:rStyle w:val="Hyperlink"/>
          </w:rPr>
          <w:t>Practice steps</w:t>
        </w:r>
        <w:r>
          <w:rPr>
            <w:webHidden/>
          </w:rPr>
          <w:tab/>
        </w:r>
        <w:r>
          <w:rPr>
            <w:webHidden/>
          </w:rPr>
          <w:fldChar w:fldCharType="begin"/>
        </w:r>
        <w:r>
          <w:rPr>
            <w:webHidden/>
          </w:rPr>
          <w:instrText xml:space="preserve"> PAGEREF _Toc359317041 \h </w:instrText>
        </w:r>
        <w:r>
          <w:rPr>
            <w:webHidden/>
          </w:rPr>
        </w:r>
        <w:r>
          <w:rPr>
            <w:webHidden/>
          </w:rPr>
          <w:fldChar w:fldCharType="separate"/>
        </w:r>
        <w:r>
          <w:rPr>
            <w:webHidden/>
          </w:rPr>
          <w:t>4</w:t>
        </w:r>
        <w:r>
          <w:rPr>
            <w:webHidden/>
          </w:rPr>
          <w:fldChar w:fldCharType="end"/>
        </w:r>
      </w:hyperlink>
    </w:p>
    <w:p w:rsidR="00D24C10" w:rsidRDefault="00D24C10">
      <w:pPr>
        <w:pStyle w:val="TOC2"/>
        <w:rPr>
          <w:rFonts w:eastAsiaTheme="minorEastAsia" w:cstheme="minorBidi"/>
          <w:szCs w:val="22"/>
        </w:rPr>
      </w:pPr>
      <w:hyperlink w:anchor="_Toc359317042" w:history="1">
        <w:r w:rsidRPr="005A3896">
          <w:rPr>
            <w:rStyle w:val="Hyperlink"/>
          </w:rPr>
          <w:t>4.3</w:t>
        </w:r>
        <w:r>
          <w:rPr>
            <w:rFonts w:eastAsiaTheme="minorEastAsia" w:cstheme="minorBidi"/>
            <w:szCs w:val="22"/>
          </w:rPr>
          <w:tab/>
        </w:r>
        <w:r w:rsidRPr="005A3896">
          <w:rPr>
            <w:rStyle w:val="Hyperlink"/>
          </w:rPr>
          <w:t>Supporting tools and templates related to the practice steps</w:t>
        </w:r>
        <w:r>
          <w:rPr>
            <w:webHidden/>
          </w:rPr>
          <w:tab/>
        </w:r>
        <w:r>
          <w:rPr>
            <w:webHidden/>
          </w:rPr>
          <w:fldChar w:fldCharType="begin"/>
        </w:r>
        <w:r>
          <w:rPr>
            <w:webHidden/>
          </w:rPr>
          <w:instrText xml:space="preserve"> PAGEREF _Toc359317042 \h </w:instrText>
        </w:r>
        <w:r>
          <w:rPr>
            <w:webHidden/>
          </w:rPr>
        </w:r>
        <w:r>
          <w:rPr>
            <w:webHidden/>
          </w:rPr>
          <w:fldChar w:fldCharType="separate"/>
        </w:r>
        <w:r>
          <w:rPr>
            <w:webHidden/>
          </w:rPr>
          <w:t>7</w:t>
        </w:r>
        <w:r>
          <w:rPr>
            <w:webHidden/>
          </w:rPr>
          <w:fldChar w:fldCharType="end"/>
        </w:r>
      </w:hyperlink>
    </w:p>
    <w:p w:rsidR="00D24C10" w:rsidRDefault="00D24C10">
      <w:pPr>
        <w:pStyle w:val="TOC2"/>
        <w:rPr>
          <w:rFonts w:eastAsiaTheme="minorEastAsia" w:cstheme="minorBidi"/>
          <w:szCs w:val="22"/>
        </w:rPr>
      </w:pPr>
      <w:hyperlink w:anchor="_Toc359317043" w:history="1">
        <w:r w:rsidRPr="005A3896">
          <w:rPr>
            <w:rStyle w:val="Hyperlink"/>
          </w:rPr>
          <w:t>4.4</w:t>
        </w:r>
        <w:r>
          <w:rPr>
            <w:rFonts w:eastAsiaTheme="minorEastAsia" w:cstheme="minorBidi"/>
            <w:szCs w:val="22"/>
          </w:rPr>
          <w:tab/>
        </w:r>
        <w:r w:rsidRPr="005A3896">
          <w:rPr>
            <w:rStyle w:val="Hyperlink"/>
          </w:rPr>
          <w:t>Additional websites for reference/general knowledge</w:t>
        </w:r>
        <w:r>
          <w:rPr>
            <w:webHidden/>
          </w:rPr>
          <w:tab/>
        </w:r>
        <w:r>
          <w:rPr>
            <w:webHidden/>
          </w:rPr>
          <w:fldChar w:fldCharType="begin"/>
        </w:r>
        <w:r>
          <w:rPr>
            <w:webHidden/>
          </w:rPr>
          <w:instrText xml:space="preserve"> PAGEREF _Toc359317043 \h </w:instrText>
        </w:r>
        <w:r>
          <w:rPr>
            <w:webHidden/>
          </w:rPr>
        </w:r>
        <w:r>
          <w:rPr>
            <w:webHidden/>
          </w:rPr>
          <w:fldChar w:fldCharType="separate"/>
        </w:r>
        <w:r>
          <w:rPr>
            <w:webHidden/>
          </w:rPr>
          <w:t>8</w:t>
        </w:r>
        <w:r>
          <w:rPr>
            <w:webHidden/>
          </w:rPr>
          <w:fldChar w:fldCharType="end"/>
        </w:r>
      </w:hyperlink>
    </w:p>
    <w:p w:rsidR="00455C6F" w:rsidRPr="006C49EC" w:rsidRDefault="00DE0D98" w:rsidP="00212803">
      <w:pPr>
        <w:rPr>
          <w:rFonts w:asciiTheme="minorHAnsi" w:hAnsiTheme="minorHAnsi" w:cstheme="minorHAnsi"/>
          <w:b/>
          <w:sz w:val="22"/>
          <w:szCs w:val="22"/>
        </w:rPr>
      </w:pPr>
      <w:r w:rsidRPr="006C49EC">
        <w:rPr>
          <w:rFonts w:asciiTheme="minorHAnsi" w:hAnsiTheme="minorHAnsi" w:cstheme="minorHAnsi"/>
          <w:b/>
          <w:sz w:val="22"/>
          <w:szCs w:val="22"/>
        </w:rPr>
        <w:fldChar w:fldCharType="end"/>
      </w:r>
    </w:p>
    <w:p w:rsidR="00455C6F" w:rsidRPr="006C49EC" w:rsidRDefault="00455C6F" w:rsidP="00212803">
      <w:pPr>
        <w:rPr>
          <w:rFonts w:asciiTheme="minorHAnsi" w:hAnsiTheme="minorHAnsi" w:cstheme="minorHAnsi"/>
          <w:b/>
          <w:sz w:val="22"/>
          <w:szCs w:val="22"/>
        </w:rPr>
      </w:pPr>
    </w:p>
    <w:p w:rsidR="00455C6F" w:rsidRPr="006C49EC" w:rsidRDefault="00455C6F" w:rsidP="00212803">
      <w:pPr>
        <w:rPr>
          <w:rFonts w:asciiTheme="minorHAnsi" w:hAnsiTheme="minorHAnsi" w:cstheme="minorHAnsi"/>
          <w:b/>
          <w:sz w:val="22"/>
          <w:szCs w:val="22"/>
        </w:rPr>
        <w:sectPr w:rsidR="00455C6F" w:rsidRPr="006C49EC" w:rsidSect="00E67303">
          <w:pgSz w:w="16838" w:h="11899" w:orient="landscape" w:code="9"/>
          <w:pgMar w:top="1440" w:right="1440" w:bottom="1440" w:left="1440" w:header="851" w:footer="1247" w:gutter="0"/>
          <w:pgNumType w:fmt="lowerRoman" w:start="1"/>
          <w:cols w:space="720"/>
          <w:titlePg/>
          <w:docGrid w:linePitch="326"/>
        </w:sectPr>
      </w:pPr>
    </w:p>
    <w:p w:rsidR="00324A44" w:rsidRPr="006C49EC" w:rsidRDefault="00324A44" w:rsidP="00324A44">
      <w:pPr>
        <w:pStyle w:val="Heading1"/>
      </w:pPr>
      <w:bookmarkStart w:id="1" w:name="_Toc359317036"/>
      <w:r w:rsidRPr="006C49EC">
        <w:lastRenderedPageBreak/>
        <w:t>Purpose of this guide</w:t>
      </w:r>
      <w:bookmarkEnd w:id="1"/>
    </w:p>
    <w:p w:rsidR="00324A44" w:rsidRPr="006C49EC" w:rsidRDefault="00324A44" w:rsidP="00324A44">
      <w:pPr>
        <w:pStyle w:val="Paragraph"/>
      </w:pPr>
      <w:r w:rsidRPr="006C49EC">
        <w:t xml:space="preserve">Welcome to the practice guide </w:t>
      </w:r>
      <w:r w:rsidR="00581724" w:rsidRPr="006C49EC">
        <w:t>o</w:t>
      </w:r>
      <w:r w:rsidRPr="006C49EC">
        <w:t xml:space="preserve">n </w:t>
      </w:r>
      <w:r w:rsidR="00581724" w:rsidRPr="006C49EC">
        <w:t xml:space="preserve">integrating </w:t>
      </w:r>
      <w:r w:rsidR="00763F76" w:rsidRPr="006C49EC">
        <w:t xml:space="preserve">energy </w:t>
      </w:r>
      <w:r w:rsidR="00581724" w:rsidRPr="006C49EC">
        <w:t xml:space="preserve">management into </w:t>
      </w:r>
      <w:r w:rsidR="00763F76" w:rsidRPr="006C49EC">
        <w:t>business planning</w:t>
      </w:r>
      <w:r w:rsidRPr="006C49EC">
        <w:t xml:space="preserve">. </w:t>
      </w:r>
    </w:p>
    <w:p w:rsidR="00324A44" w:rsidRPr="006C49EC" w:rsidRDefault="00324A44" w:rsidP="00324A44">
      <w:pPr>
        <w:pStyle w:val="Paragraph"/>
      </w:pPr>
      <w:r w:rsidRPr="006C49EC">
        <w:t>The business environment</w:t>
      </w:r>
      <w:r w:rsidR="00A80378" w:rsidRPr="006C49EC">
        <w:t xml:space="preserve"> for foundries</w:t>
      </w:r>
      <w:r w:rsidRPr="006C49EC">
        <w:t xml:space="preserve"> </w:t>
      </w:r>
      <w:r w:rsidR="009230E8" w:rsidRPr="006C49EC">
        <w:t xml:space="preserve">and fabricators </w:t>
      </w:r>
      <w:r w:rsidRPr="006C49EC">
        <w:t>is constantly changing. However, the</w:t>
      </w:r>
      <w:r w:rsidR="00763F76" w:rsidRPr="006C49EC">
        <w:t xml:space="preserve"> escalating cost of energy</w:t>
      </w:r>
      <w:r w:rsidR="00F0184F" w:rsidRPr="006C49EC">
        <w:t>, carbon costs, new regulatory frameworks</w:t>
      </w:r>
      <w:r w:rsidR="00763F76" w:rsidRPr="006C49EC">
        <w:t xml:space="preserve"> and demands for </w:t>
      </w:r>
      <w:r w:rsidR="00581724" w:rsidRPr="006C49EC">
        <w:t xml:space="preserve">effective management of </w:t>
      </w:r>
      <w:r w:rsidR="00763F76" w:rsidRPr="006C49EC">
        <w:t xml:space="preserve">environmental </w:t>
      </w:r>
      <w:r w:rsidR="00581724" w:rsidRPr="006C49EC">
        <w:t xml:space="preserve">responsibilities </w:t>
      </w:r>
      <w:r w:rsidRPr="006C49EC">
        <w:t xml:space="preserve">present unique challenges. </w:t>
      </w:r>
      <w:r w:rsidR="00F0184F" w:rsidRPr="006C49EC">
        <w:t xml:space="preserve">Managing these issues and </w:t>
      </w:r>
      <w:r w:rsidRPr="006C49EC">
        <w:t>understanding their impact on your region</w:t>
      </w:r>
      <w:r w:rsidR="00581724" w:rsidRPr="006C49EC">
        <w:t>, your market</w:t>
      </w:r>
      <w:r w:rsidRPr="006C49EC">
        <w:t xml:space="preserve"> and your p</w:t>
      </w:r>
      <w:r w:rsidR="00581724" w:rsidRPr="006C49EC">
        <w:t>osition</w:t>
      </w:r>
      <w:r w:rsidRPr="006C49EC">
        <w:t xml:space="preserve"> in the supply chain </w:t>
      </w:r>
      <w:r w:rsidR="00F0184F" w:rsidRPr="006C49EC">
        <w:t>is</w:t>
      </w:r>
      <w:r w:rsidRPr="006C49EC">
        <w:t xml:space="preserve"> essential to ensuring a sustainable business. </w:t>
      </w:r>
    </w:p>
    <w:p w:rsidR="00324A44" w:rsidRPr="006C49EC" w:rsidRDefault="00C95AE8" w:rsidP="00324A44">
      <w:pPr>
        <w:pStyle w:val="Paragraph"/>
      </w:pPr>
      <w:r w:rsidRPr="006C49EC">
        <w:t>With t</w:t>
      </w:r>
      <w:r w:rsidR="00324A44" w:rsidRPr="006C49EC">
        <w:t>his guide</w:t>
      </w:r>
      <w:r w:rsidR="00F96867" w:rsidRPr="006C49EC">
        <w:t>,</w:t>
      </w:r>
      <w:r w:rsidR="00324A44" w:rsidRPr="006C49EC">
        <w:t xml:space="preserve"> </w:t>
      </w:r>
      <w:r w:rsidRPr="006C49EC">
        <w:t>your business</w:t>
      </w:r>
      <w:r w:rsidR="00324A44" w:rsidRPr="006C49EC">
        <w:t xml:space="preserve"> leaders </w:t>
      </w:r>
      <w:r w:rsidRPr="006C49EC">
        <w:t xml:space="preserve">will be able </w:t>
      </w:r>
      <w:r w:rsidR="00324A44" w:rsidRPr="006C49EC">
        <w:t>to make changes</w:t>
      </w:r>
      <w:r w:rsidRPr="006C49EC">
        <w:t xml:space="preserve"> to management systems, processes and ultimately, to the culture of your organisation to effectively address the risks and realise the opportunities</w:t>
      </w:r>
      <w:r w:rsidR="007C6896" w:rsidRPr="006C49EC">
        <w:t xml:space="preserve"> emerging in</w:t>
      </w:r>
      <w:r w:rsidR="00763F76" w:rsidRPr="006C49EC">
        <w:t xml:space="preserve"> your market</w:t>
      </w:r>
      <w:r w:rsidR="00324A44" w:rsidRPr="006C49EC">
        <w:t xml:space="preserve">. </w:t>
      </w:r>
    </w:p>
    <w:p w:rsidR="00E67303" w:rsidRPr="006C49EC" w:rsidRDefault="00E67303" w:rsidP="00324A44">
      <w:pPr>
        <w:pStyle w:val="Paragraph"/>
      </w:pPr>
      <w:r w:rsidRPr="006C49EC">
        <w:t xml:space="preserve">This practice guide is supported by information and tools in the Embedding Energy Management </w:t>
      </w:r>
      <w:r w:rsidR="007C6896" w:rsidRPr="006C49EC">
        <w:t xml:space="preserve">(EEM) </w:t>
      </w:r>
      <w:r w:rsidRPr="006C49EC">
        <w:t>workforce development kit. Relevant tools are highlighted in bold throughout the practice gui</w:t>
      </w:r>
      <w:r w:rsidR="007C6896" w:rsidRPr="006C49EC">
        <w:t>de. The EEM kit</w:t>
      </w:r>
      <w:r w:rsidRPr="006C49EC">
        <w:t xml:space="preserve"> is available from the resources section at </w:t>
      </w:r>
      <w:hyperlink r:id="rId17" w:history="1">
        <w:r w:rsidRPr="006C49EC">
          <w:rPr>
            <w:rStyle w:val="Hyperlink"/>
          </w:rPr>
          <w:t>http://www.sustainabilityskills.net.au</w:t>
        </w:r>
      </w:hyperlink>
      <w:r w:rsidRPr="006C49EC">
        <w:rPr>
          <w:b/>
        </w:rPr>
        <w:t>.</w:t>
      </w:r>
    </w:p>
    <w:p w:rsidR="00324A44" w:rsidRPr="006C49EC" w:rsidRDefault="00324A44" w:rsidP="00324A44">
      <w:pPr>
        <w:pStyle w:val="Heading1"/>
        <w:tabs>
          <w:tab w:val="num" w:pos="851"/>
        </w:tabs>
      </w:pPr>
      <w:bookmarkStart w:id="2" w:name="_Toc275951199"/>
      <w:bookmarkStart w:id="3" w:name="_Toc359317037"/>
      <w:r w:rsidRPr="006C49EC">
        <w:t>Who will benefit from this guide?</w:t>
      </w:r>
      <w:bookmarkEnd w:id="2"/>
      <w:bookmarkEnd w:id="3"/>
    </w:p>
    <w:p w:rsidR="00324A44" w:rsidRPr="006C49EC" w:rsidRDefault="00EB593F" w:rsidP="00324A44">
      <w:pPr>
        <w:pStyle w:val="Paragraph"/>
      </w:pPr>
      <w:r w:rsidRPr="006C49EC">
        <w:t>Chief Executive</w:t>
      </w:r>
      <w:r w:rsidR="00324A44" w:rsidRPr="006C49EC">
        <w:t xml:space="preserve"> Officers (CEOs), Chief Financial Officers (CFOs), Site Managers, General M</w:t>
      </w:r>
      <w:r w:rsidR="007C6896" w:rsidRPr="006C49EC">
        <w:t xml:space="preserve">anagers, Marketing Executives, </w:t>
      </w:r>
      <w:r w:rsidR="00324A44" w:rsidRPr="006C49EC">
        <w:t xml:space="preserve">Procurement and Supply Chain Managers, Site Engineers and Energy Champions who have the desire to learn more about understanding the key </w:t>
      </w:r>
      <w:r w:rsidR="008C4779" w:rsidRPr="006C49EC">
        <w:t xml:space="preserve">energy and </w:t>
      </w:r>
      <w:r w:rsidR="00324A44" w:rsidRPr="006C49EC">
        <w:t>carbon-related risks and opportunities for your business.</w:t>
      </w:r>
    </w:p>
    <w:p w:rsidR="00324A44" w:rsidRPr="006C49EC" w:rsidRDefault="00324A44" w:rsidP="00324A44">
      <w:pPr>
        <w:pStyle w:val="Heading1"/>
      </w:pPr>
      <w:bookmarkStart w:id="4" w:name="_Toc275951200"/>
      <w:bookmarkStart w:id="5" w:name="_Toc359317038"/>
      <w:r w:rsidRPr="006C49EC">
        <w:t>Business drivers</w:t>
      </w:r>
      <w:bookmarkEnd w:id="4"/>
      <w:r w:rsidR="00D03A3C" w:rsidRPr="006C49EC">
        <w:t xml:space="preserve"> </w:t>
      </w:r>
      <w:r w:rsidR="00211716" w:rsidRPr="006C49EC">
        <w:t>creating focus on energy management</w:t>
      </w:r>
      <w:bookmarkEnd w:id="5"/>
    </w:p>
    <w:p w:rsidR="00324A44" w:rsidRPr="006C49EC" w:rsidRDefault="00324A44" w:rsidP="00324A44">
      <w:pPr>
        <w:pStyle w:val="Paragraph"/>
      </w:pPr>
      <w:r w:rsidRPr="006C49EC">
        <w:t xml:space="preserve">Traditionally, environmental management in the </w:t>
      </w:r>
      <w:r w:rsidR="00211716" w:rsidRPr="006C49EC">
        <w:t>f</w:t>
      </w:r>
      <w:r w:rsidR="00466205" w:rsidRPr="006C49EC">
        <w:t>oundries</w:t>
      </w:r>
      <w:r w:rsidRPr="006C49EC">
        <w:t xml:space="preserve"> sector has been </w:t>
      </w:r>
      <w:r w:rsidR="00CD1D9B" w:rsidRPr="006C49EC">
        <w:t xml:space="preserve">regarded from </w:t>
      </w:r>
      <w:r w:rsidRPr="006C49EC">
        <w:t xml:space="preserve">a </w:t>
      </w:r>
      <w:r w:rsidR="007C6896" w:rsidRPr="006C49EC">
        <w:t>‘</w:t>
      </w:r>
      <w:r w:rsidRPr="006C49EC">
        <w:t>license-to-operate</w:t>
      </w:r>
      <w:r w:rsidR="007C6896" w:rsidRPr="006C49EC">
        <w:t>’</w:t>
      </w:r>
      <w:r w:rsidR="001B3CCA" w:rsidRPr="006C49EC">
        <w:t xml:space="preserve"> </w:t>
      </w:r>
      <w:r w:rsidR="00CD1D9B" w:rsidRPr="006C49EC">
        <w:t>basis under which there were no consequences to carbon pollution, and inputs</w:t>
      </w:r>
      <w:r w:rsidR="007C6896" w:rsidRPr="006C49EC">
        <w:t>,</w:t>
      </w:r>
      <w:r w:rsidR="00CD1D9B" w:rsidRPr="006C49EC">
        <w:t xml:space="preserve"> such as energy were cheap and abundant</w:t>
      </w:r>
      <w:r w:rsidR="007C6896" w:rsidRPr="006C49EC">
        <w:t>.</w:t>
      </w:r>
      <w:r w:rsidRPr="006C49EC">
        <w:t xml:space="preserve"> </w:t>
      </w:r>
      <w:r w:rsidR="00CD1D9B" w:rsidRPr="006C49EC">
        <w:t>I</w:t>
      </w:r>
      <w:r w:rsidRPr="006C49EC">
        <w:t>ncreasingly</w:t>
      </w:r>
      <w:r w:rsidR="00CD1D9B" w:rsidRPr="006C49EC">
        <w:t xml:space="preserve"> however</w:t>
      </w:r>
      <w:r w:rsidRPr="006C49EC">
        <w:t>, experience shows that embedding environmental sustainability, or ‘eco-efficiency’ within an organisation’s broader business strategies and practices yields far more than basic environmental compliance. It frequently results in organisational and technical innovations that generate both</w:t>
      </w:r>
      <w:r w:rsidR="007C6896" w:rsidRPr="006C49EC">
        <w:t xml:space="preserve"> bottom- and top-line returns.</w:t>
      </w:r>
      <w:r w:rsidRPr="006C49EC">
        <w:t xml:space="preserve"> Adapting to a carbon-constrained economy via enhanced eco-efficient practices in </w:t>
      </w:r>
      <w:r w:rsidR="00DD5A12" w:rsidRPr="006C49EC">
        <w:t>foundry processes</w:t>
      </w:r>
      <w:r w:rsidRPr="006C49EC">
        <w:t xml:space="preserve"> lowers costs because busine</w:t>
      </w:r>
      <w:r w:rsidR="007C6896" w:rsidRPr="006C49EC">
        <w:t xml:space="preserve">ss reduces the inputs it uses. </w:t>
      </w:r>
      <w:r w:rsidR="008C4779" w:rsidRPr="006C49EC">
        <w:t>C</w:t>
      </w:r>
      <w:r w:rsidRPr="006C49EC">
        <w:t xml:space="preserve">hallenging the status quo around inputs to manufacturing can bring about additional revenue through innovative thinking that leads to </w:t>
      </w:r>
      <w:r w:rsidR="008C4779" w:rsidRPr="006C49EC">
        <w:t>new</w:t>
      </w:r>
      <w:r w:rsidR="0071342F" w:rsidRPr="006C49EC">
        <w:t xml:space="preserve"> </w:t>
      </w:r>
      <w:r w:rsidR="008C4779" w:rsidRPr="006C49EC">
        <w:t>markets</w:t>
      </w:r>
      <w:r w:rsidR="0071342F" w:rsidRPr="006C49EC">
        <w:t>,</w:t>
      </w:r>
      <w:r w:rsidR="008C4779" w:rsidRPr="006C49EC">
        <w:t xml:space="preserve"> consolidation of facilities or </w:t>
      </w:r>
      <w:r w:rsidRPr="006C49EC">
        <w:t>the introduction of new or improved products or even new business lines.</w:t>
      </w:r>
    </w:p>
    <w:p w:rsidR="00324A44" w:rsidRPr="006C49EC" w:rsidRDefault="00324A44" w:rsidP="000C1497">
      <w:pPr>
        <w:pStyle w:val="Paragraph"/>
        <w:keepNext/>
      </w:pPr>
      <w:r w:rsidRPr="006C49EC">
        <w:lastRenderedPageBreak/>
        <w:t xml:space="preserve">At a </w:t>
      </w:r>
      <w:r w:rsidR="007B064A" w:rsidRPr="006C49EC">
        <w:t>strategic planning level the main</w:t>
      </w:r>
      <w:r w:rsidRPr="006C49EC">
        <w:t xml:space="preserve"> reasons why </w:t>
      </w:r>
      <w:r w:rsidR="00CD1D9B" w:rsidRPr="006C49EC">
        <w:t xml:space="preserve">your </w:t>
      </w:r>
      <w:r w:rsidRPr="006C49EC">
        <w:t>business</w:t>
      </w:r>
      <w:r w:rsidR="00DD5A12" w:rsidRPr="006C49EC">
        <w:t xml:space="preserve"> </w:t>
      </w:r>
      <w:r w:rsidR="00CD1D9B" w:rsidRPr="006C49EC">
        <w:t>should</w:t>
      </w:r>
      <w:r w:rsidRPr="006C49EC">
        <w:t xml:space="preserve"> </w:t>
      </w:r>
      <w:r w:rsidR="00CD1D9B" w:rsidRPr="006C49EC">
        <w:t>address</w:t>
      </w:r>
      <w:r w:rsidRPr="006C49EC">
        <w:t xml:space="preserve"> global trends</w:t>
      </w:r>
      <w:r w:rsidR="00B6003A" w:rsidRPr="006C49EC">
        <w:t xml:space="preserve"> arising from climate change and resource scarcity,</w:t>
      </w:r>
      <w:r w:rsidRPr="006C49EC">
        <w:t xml:space="preserve"> include:</w:t>
      </w:r>
    </w:p>
    <w:p w:rsidR="00204FFD" w:rsidRPr="006C49EC" w:rsidRDefault="00324A44">
      <w:pPr>
        <w:pStyle w:val="Paragraph"/>
        <w:numPr>
          <w:ilvl w:val="0"/>
          <w:numId w:val="31"/>
        </w:numPr>
      </w:pPr>
      <w:r w:rsidRPr="006C49EC">
        <w:t>Positioning your business in the supply chain</w:t>
      </w:r>
      <w:r w:rsidR="00A4782A" w:rsidRPr="006C49EC">
        <w:t xml:space="preserve"> based on an understanding of energy and resource costs</w:t>
      </w:r>
      <w:r w:rsidR="00CD1D9B" w:rsidRPr="006C49EC">
        <w:t>.</w:t>
      </w:r>
      <w:r w:rsidR="007C6896" w:rsidRPr="006C49EC">
        <w:t xml:space="preserve"> </w:t>
      </w:r>
      <w:r w:rsidR="00A4782A" w:rsidRPr="006C49EC">
        <w:t>You ma</w:t>
      </w:r>
      <w:r w:rsidR="007C6896" w:rsidRPr="006C49EC">
        <w:t>y choose alternative suppliers.</w:t>
      </w:r>
      <w:r w:rsidR="00A4782A" w:rsidRPr="006C49EC">
        <w:t xml:space="preserve"> You should also understand your ability to pass on costs, and</w:t>
      </w:r>
      <w:r w:rsidR="003A16FC" w:rsidRPr="006C49EC">
        <w:t xml:space="preserve"> the</w:t>
      </w:r>
      <w:r w:rsidR="00A4782A" w:rsidRPr="006C49EC">
        <w:t xml:space="preserve"> implications for </w:t>
      </w:r>
      <w:r w:rsidR="003A16FC" w:rsidRPr="006C49EC">
        <w:t>your customers.</w:t>
      </w:r>
    </w:p>
    <w:p w:rsidR="00204FFD" w:rsidRPr="006C49EC" w:rsidRDefault="00324A44">
      <w:pPr>
        <w:pStyle w:val="Paragraph"/>
        <w:numPr>
          <w:ilvl w:val="0"/>
          <w:numId w:val="31"/>
        </w:numPr>
      </w:pPr>
      <w:r w:rsidRPr="006C49EC">
        <w:t>Understanding your business risk</w:t>
      </w:r>
      <w:r w:rsidR="00D03A3C" w:rsidRPr="006C49EC">
        <w:t xml:space="preserve">, </w:t>
      </w:r>
      <w:r w:rsidR="00263DB0" w:rsidRPr="006C49EC">
        <w:t xml:space="preserve">in particular </w:t>
      </w:r>
      <w:r w:rsidR="00E378EB" w:rsidRPr="006C49EC">
        <w:t xml:space="preserve">energy and </w:t>
      </w:r>
      <w:r w:rsidRPr="006C49EC">
        <w:t>carbon intensity</w:t>
      </w:r>
      <w:r w:rsidR="00CD1D9B" w:rsidRPr="006C49EC">
        <w:t>.</w:t>
      </w:r>
    </w:p>
    <w:p w:rsidR="00204FFD" w:rsidRPr="006C49EC" w:rsidRDefault="00324A44">
      <w:pPr>
        <w:pStyle w:val="Paragraph"/>
        <w:numPr>
          <w:ilvl w:val="0"/>
          <w:numId w:val="31"/>
        </w:numPr>
      </w:pPr>
      <w:r w:rsidRPr="006C49EC">
        <w:t xml:space="preserve">Productivity gains </w:t>
      </w:r>
      <w:r w:rsidR="00D03A3C" w:rsidRPr="006C49EC">
        <w:t xml:space="preserve">as </w:t>
      </w:r>
      <w:r w:rsidRPr="006C49EC">
        <w:t>energy efficiency contribute</w:t>
      </w:r>
      <w:r w:rsidR="0071342F" w:rsidRPr="006C49EC">
        <w:t>s</w:t>
      </w:r>
      <w:r w:rsidRPr="006C49EC">
        <w:t xml:space="preserve"> to profit margins</w:t>
      </w:r>
      <w:r w:rsidR="00CD1D9B" w:rsidRPr="006C49EC">
        <w:t>.</w:t>
      </w:r>
    </w:p>
    <w:p w:rsidR="00204FFD" w:rsidRPr="006C49EC" w:rsidRDefault="00324A44">
      <w:pPr>
        <w:pStyle w:val="Paragraph"/>
        <w:numPr>
          <w:ilvl w:val="0"/>
          <w:numId w:val="31"/>
        </w:numPr>
      </w:pPr>
      <w:r w:rsidRPr="006C49EC">
        <w:t>Identifying business opportunities</w:t>
      </w:r>
      <w:r w:rsidR="007C6896" w:rsidRPr="006C49EC">
        <w:t xml:space="preserve">. </w:t>
      </w:r>
      <w:r w:rsidR="00D03A3C" w:rsidRPr="006C49EC">
        <w:t xml:space="preserve">How well do your </w:t>
      </w:r>
      <w:r w:rsidRPr="006C49EC">
        <w:t>competitor</w:t>
      </w:r>
      <w:r w:rsidR="00D03A3C" w:rsidRPr="006C49EC">
        <w:t>s manage energy?</w:t>
      </w:r>
    </w:p>
    <w:p w:rsidR="00204FFD" w:rsidRPr="006C49EC" w:rsidRDefault="00324A44">
      <w:pPr>
        <w:pStyle w:val="Paragraph"/>
        <w:numPr>
          <w:ilvl w:val="0"/>
          <w:numId w:val="31"/>
        </w:numPr>
      </w:pPr>
      <w:r w:rsidRPr="006C49EC">
        <w:t>Enhancing your business’ brand and reputation</w:t>
      </w:r>
      <w:r w:rsidR="00CD1D9B" w:rsidRPr="006C49EC">
        <w:t>.</w:t>
      </w:r>
    </w:p>
    <w:p w:rsidR="00324A44" w:rsidRPr="006C49EC" w:rsidRDefault="00211716" w:rsidP="00324A44">
      <w:pPr>
        <w:pStyle w:val="Heading1"/>
      </w:pPr>
      <w:bookmarkStart w:id="6" w:name="_Toc275951201"/>
      <w:bookmarkStart w:id="7" w:name="_Toc359317039"/>
      <w:r w:rsidRPr="006C49EC">
        <w:t>I</w:t>
      </w:r>
      <w:r w:rsidR="00750230" w:rsidRPr="006C49EC">
        <w:t>ntegrat</w:t>
      </w:r>
      <w:r w:rsidRPr="006C49EC">
        <w:t>ing</w:t>
      </w:r>
      <w:r w:rsidR="00750230" w:rsidRPr="006C49EC">
        <w:t xml:space="preserve"> energy and related trends into business plans</w:t>
      </w:r>
      <w:bookmarkEnd w:id="7"/>
      <w:r w:rsidR="00750230" w:rsidRPr="006C49EC">
        <w:t xml:space="preserve"> </w:t>
      </w:r>
      <w:bookmarkEnd w:id="6"/>
    </w:p>
    <w:p w:rsidR="00324A44" w:rsidRPr="006C49EC" w:rsidRDefault="00A80378" w:rsidP="00324A44">
      <w:pPr>
        <w:pStyle w:val="Paragraph"/>
        <w:rPr>
          <w:lang w:eastAsia="zh-CN"/>
        </w:rPr>
      </w:pPr>
      <w:r w:rsidRPr="006C49EC">
        <w:rPr>
          <w:lang w:eastAsia="zh-CN"/>
        </w:rPr>
        <w:t xml:space="preserve">This guide presents five </w:t>
      </w:r>
      <w:r w:rsidR="00324A44" w:rsidRPr="006C49EC">
        <w:rPr>
          <w:lang w:eastAsia="zh-CN"/>
        </w:rPr>
        <w:t>key practices that will help</w:t>
      </w:r>
      <w:r w:rsidR="00B6003A" w:rsidRPr="006C49EC">
        <w:rPr>
          <w:lang w:eastAsia="zh-CN"/>
        </w:rPr>
        <w:t xml:space="preserve"> your</w:t>
      </w:r>
      <w:r w:rsidR="007C6896" w:rsidRPr="006C49EC">
        <w:rPr>
          <w:lang w:eastAsia="zh-CN"/>
        </w:rPr>
        <w:t xml:space="preserve"> business </w:t>
      </w:r>
      <w:r w:rsidR="00324A44" w:rsidRPr="006C49EC">
        <w:rPr>
          <w:lang w:eastAsia="zh-CN"/>
        </w:rPr>
        <w:t xml:space="preserve">better understand the </w:t>
      </w:r>
      <w:r w:rsidR="00B6003A" w:rsidRPr="006C49EC">
        <w:rPr>
          <w:lang w:eastAsia="zh-CN"/>
        </w:rPr>
        <w:t xml:space="preserve">impact of </w:t>
      </w:r>
      <w:r w:rsidR="00324A44" w:rsidRPr="006C49EC">
        <w:rPr>
          <w:lang w:eastAsia="zh-CN"/>
        </w:rPr>
        <w:t xml:space="preserve">global trends, and how </w:t>
      </w:r>
      <w:r w:rsidR="00B6003A" w:rsidRPr="006C49EC">
        <w:rPr>
          <w:lang w:eastAsia="zh-CN"/>
        </w:rPr>
        <w:t xml:space="preserve">understanding and responding to </w:t>
      </w:r>
      <w:r w:rsidR="00324A44" w:rsidRPr="006C49EC">
        <w:rPr>
          <w:lang w:eastAsia="zh-CN"/>
        </w:rPr>
        <w:t xml:space="preserve">these trends </w:t>
      </w:r>
      <w:r w:rsidR="00B6003A" w:rsidRPr="006C49EC">
        <w:rPr>
          <w:lang w:eastAsia="zh-CN"/>
        </w:rPr>
        <w:t xml:space="preserve">can be integrated </w:t>
      </w:r>
      <w:r w:rsidR="00324A44" w:rsidRPr="006C49EC">
        <w:rPr>
          <w:lang w:eastAsia="zh-CN"/>
        </w:rPr>
        <w:t xml:space="preserve">into </w:t>
      </w:r>
      <w:r w:rsidR="00B6003A" w:rsidRPr="006C49EC">
        <w:rPr>
          <w:lang w:eastAsia="zh-CN"/>
        </w:rPr>
        <w:t>your</w:t>
      </w:r>
      <w:r w:rsidR="00324A44" w:rsidRPr="006C49EC">
        <w:rPr>
          <w:lang w:eastAsia="zh-CN"/>
        </w:rPr>
        <w:t xml:space="preserve"> business planning process</w:t>
      </w:r>
      <w:r w:rsidR="002A4B59" w:rsidRPr="006C49EC">
        <w:rPr>
          <w:lang w:eastAsia="zh-CN"/>
        </w:rPr>
        <w:t>es</w:t>
      </w:r>
      <w:r w:rsidR="00F65B35" w:rsidRPr="006C49EC">
        <w:rPr>
          <w:lang w:eastAsia="zh-CN"/>
        </w:rPr>
        <w:t xml:space="preserve"> or system</w:t>
      </w:r>
      <w:r w:rsidR="002A4B59" w:rsidRPr="006C49EC">
        <w:rPr>
          <w:lang w:eastAsia="zh-CN"/>
        </w:rPr>
        <w:t>s</w:t>
      </w:r>
      <w:r w:rsidR="00EB593F" w:rsidRPr="006C49EC">
        <w:rPr>
          <w:lang w:eastAsia="zh-CN"/>
        </w:rPr>
        <w:t xml:space="preserve">. </w:t>
      </w:r>
      <w:r w:rsidR="00B6003A" w:rsidRPr="006C49EC">
        <w:rPr>
          <w:lang w:eastAsia="zh-CN"/>
        </w:rPr>
        <w:t>In doing so,</w:t>
      </w:r>
      <w:r w:rsidR="00324A44" w:rsidRPr="006C49EC">
        <w:rPr>
          <w:lang w:eastAsia="zh-CN"/>
        </w:rPr>
        <w:t xml:space="preserve"> the emerging risks and opportunities </w:t>
      </w:r>
      <w:r w:rsidR="007C6896" w:rsidRPr="006C49EC">
        <w:rPr>
          <w:lang w:eastAsia="zh-CN"/>
        </w:rPr>
        <w:t xml:space="preserve">throughout </w:t>
      </w:r>
      <w:r w:rsidR="00B6003A" w:rsidRPr="006C49EC">
        <w:rPr>
          <w:lang w:eastAsia="zh-CN"/>
        </w:rPr>
        <w:t xml:space="preserve">your </w:t>
      </w:r>
      <w:r w:rsidR="00324A44" w:rsidRPr="006C49EC">
        <w:rPr>
          <w:lang w:eastAsia="zh-CN"/>
        </w:rPr>
        <w:t xml:space="preserve">supply chain and in resource usage </w:t>
      </w:r>
      <w:r w:rsidR="00B6003A" w:rsidRPr="006C49EC">
        <w:rPr>
          <w:lang w:eastAsia="zh-CN"/>
        </w:rPr>
        <w:t>can be evaluated in the context of your overall business objectives</w:t>
      </w:r>
      <w:r w:rsidR="007C6896" w:rsidRPr="006C49EC">
        <w:rPr>
          <w:lang w:eastAsia="zh-CN"/>
        </w:rPr>
        <w:t xml:space="preserve">. </w:t>
      </w:r>
      <w:r w:rsidR="00324A44" w:rsidRPr="006C49EC">
        <w:rPr>
          <w:lang w:eastAsia="zh-CN"/>
        </w:rPr>
        <w:t xml:space="preserve">These </w:t>
      </w:r>
      <w:r w:rsidRPr="006C49EC">
        <w:rPr>
          <w:lang w:eastAsia="zh-CN"/>
        </w:rPr>
        <w:t>five</w:t>
      </w:r>
      <w:r w:rsidR="00324A44" w:rsidRPr="006C49EC">
        <w:rPr>
          <w:lang w:eastAsia="zh-CN"/>
        </w:rPr>
        <w:t xml:space="preserve"> practices are:</w:t>
      </w:r>
    </w:p>
    <w:p w:rsidR="00324A44" w:rsidRPr="006C49EC" w:rsidRDefault="00750230" w:rsidP="00324A44">
      <w:pPr>
        <w:pStyle w:val="Paragraph"/>
        <w:numPr>
          <w:ilvl w:val="0"/>
          <w:numId w:val="19"/>
        </w:numPr>
      </w:pPr>
      <w:r w:rsidRPr="006C49EC">
        <w:t>Facilitate, amongst the leadership team,</w:t>
      </w:r>
      <w:r w:rsidR="00324A44" w:rsidRPr="006C49EC">
        <w:t xml:space="preserve"> a high</w:t>
      </w:r>
      <w:r w:rsidR="007C6896" w:rsidRPr="006C49EC">
        <w:t>-</w:t>
      </w:r>
      <w:r w:rsidR="00324A44" w:rsidRPr="006C49EC">
        <w:t xml:space="preserve">level understanding of energy use, carbon emissions and major business inputs as </w:t>
      </w:r>
      <w:r w:rsidR="00B6003A" w:rsidRPr="006C49EC">
        <w:t>key considerations</w:t>
      </w:r>
      <w:r w:rsidR="00C041CD" w:rsidRPr="006C49EC">
        <w:t xml:space="preserve"> in develop</w:t>
      </w:r>
      <w:r w:rsidR="007C6896" w:rsidRPr="006C49EC">
        <w:t>ing a strategic response to the</w:t>
      </w:r>
      <w:r w:rsidR="00C041CD" w:rsidRPr="006C49EC">
        <w:t xml:space="preserve"> global</w:t>
      </w:r>
      <w:r w:rsidR="008D092E" w:rsidRPr="006C49EC">
        <w:t xml:space="preserve"> su</w:t>
      </w:r>
      <w:r w:rsidR="007C6896" w:rsidRPr="006C49EC">
        <w:t>stainability</w:t>
      </w:r>
      <w:r w:rsidR="00C041CD" w:rsidRPr="006C49EC">
        <w:t xml:space="preserve"> trends </w:t>
      </w:r>
      <w:r w:rsidR="005A4B49" w:rsidRPr="006C49EC">
        <w:t xml:space="preserve">affecting </w:t>
      </w:r>
      <w:r w:rsidR="00C041CD" w:rsidRPr="006C49EC">
        <w:t xml:space="preserve">the </w:t>
      </w:r>
      <w:r w:rsidR="007B064A" w:rsidRPr="006C49EC">
        <w:t>f</w:t>
      </w:r>
      <w:r w:rsidR="00466205" w:rsidRPr="006C49EC">
        <w:t>oundr</w:t>
      </w:r>
      <w:r w:rsidR="00981720" w:rsidRPr="006C49EC">
        <w:t>ies</w:t>
      </w:r>
      <w:r w:rsidR="00DB7329" w:rsidRPr="006C49EC">
        <w:t>,</w:t>
      </w:r>
      <w:r w:rsidR="00981720" w:rsidRPr="006C49EC">
        <w:t xml:space="preserve"> fabricators</w:t>
      </w:r>
      <w:r w:rsidR="00C041CD" w:rsidRPr="006C49EC">
        <w:t xml:space="preserve"> </w:t>
      </w:r>
      <w:r w:rsidRPr="006C49EC">
        <w:t xml:space="preserve">and related </w:t>
      </w:r>
      <w:r w:rsidR="00C041CD" w:rsidRPr="006C49EC">
        <w:t>industr</w:t>
      </w:r>
      <w:r w:rsidRPr="006C49EC">
        <w:t>ies</w:t>
      </w:r>
      <w:r w:rsidR="005A4B49" w:rsidRPr="006C49EC">
        <w:t xml:space="preserve"> in Australia</w:t>
      </w:r>
      <w:r w:rsidR="00C041CD" w:rsidRPr="006C49EC">
        <w:t>.</w:t>
      </w:r>
    </w:p>
    <w:p w:rsidR="00324A44" w:rsidRPr="006C49EC" w:rsidRDefault="00324A44" w:rsidP="00324A44">
      <w:pPr>
        <w:pStyle w:val="Paragraph"/>
        <w:numPr>
          <w:ilvl w:val="0"/>
          <w:numId w:val="19"/>
        </w:numPr>
      </w:pPr>
      <w:r w:rsidRPr="006C49EC">
        <w:t>Inform</w:t>
      </w:r>
      <w:r w:rsidR="004A0777" w:rsidRPr="006C49EC">
        <w:t xml:space="preserve"> </w:t>
      </w:r>
      <w:r w:rsidR="00750230" w:rsidRPr="006C49EC">
        <w:t xml:space="preserve">the </w:t>
      </w:r>
      <w:r w:rsidR="007C6896" w:rsidRPr="006C49EC">
        <w:t>business planning</w:t>
      </w:r>
      <w:r w:rsidR="00750230" w:rsidRPr="006C49EC">
        <w:t xml:space="preserve"> process </w:t>
      </w:r>
      <w:r w:rsidRPr="006C49EC">
        <w:t>of the</w:t>
      </w:r>
      <w:r w:rsidR="0071342F" w:rsidRPr="006C49EC">
        <w:t xml:space="preserve"> </w:t>
      </w:r>
      <w:r w:rsidR="007C6896" w:rsidRPr="006C49EC">
        <w:t>business</w:t>
      </w:r>
      <w:r w:rsidRPr="006C49EC">
        <w:t xml:space="preserve"> drivers for better energy management</w:t>
      </w:r>
      <w:r w:rsidR="007C6896" w:rsidRPr="006C49EC">
        <w:t>.</w:t>
      </w:r>
    </w:p>
    <w:p w:rsidR="00324A44" w:rsidRPr="006C49EC" w:rsidRDefault="00324A44" w:rsidP="00324A44">
      <w:pPr>
        <w:pStyle w:val="Paragraph"/>
        <w:numPr>
          <w:ilvl w:val="0"/>
          <w:numId w:val="19"/>
        </w:numPr>
      </w:pPr>
      <w:r w:rsidRPr="006C49EC">
        <w:t>Recogni</w:t>
      </w:r>
      <w:r w:rsidR="00EB593F" w:rsidRPr="006C49EC">
        <w:t>s</w:t>
      </w:r>
      <w:r w:rsidRPr="006C49EC">
        <w:t>e high</w:t>
      </w:r>
      <w:r w:rsidR="007C6896" w:rsidRPr="006C49EC">
        <w:t>-</w:t>
      </w:r>
      <w:r w:rsidRPr="006C49EC">
        <w:t>level opportunities and risks to be integrated into plans</w:t>
      </w:r>
      <w:r w:rsidR="007B064A" w:rsidRPr="006C49EC">
        <w:t xml:space="preserve">, and </w:t>
      </w:r>
      <w:r w:rsidRPr="006C49EC">
        <w:t>that require further investigation</w:t>
      </w:r>
      <w:r w:rsidR="00B6003A" w:rsidRPr="006C49EC">
        <w:t>.</w:t>
      </w:r>
    </w:p>
    <w:p w:rsidR="00324A44" w:rsidRPr="006C49EC" w:rsidRDefault="00324A44" w:rsidP="00324A44">
      <w:pPr>
        <w:pStyle w:val="Paragraph"/>
        <w:numPr>
          <w:ilvl w:val="0"/>
          <w:numId w:val="19"/>
        </w:numPr>
      </w:pPr>
      <w:r w:rsidRPr="006C49EC">
        <w:t>Facilitat</w:t>
      </w:r>
      <w:r w:rsidR="004A0777" w:rsidRPr="006C49EC">
        <w:t>e</w:t>
      </w:r>
      <w:r w:rsidR="00E33FE7" w:rsidRPr="006C49EC">
        <w:t xml:space="preserve"> the</w:t>
      </w:r>
      <w:r w:rsidRPr="006C49EC">
        <w:t xml:space="preserve"> integration of strategic priorities</w:t>
      </w:r>
      <w:r w:rsidR="0071342F" w:rsidRPr="006C49EC">
        <w:t xml:space="preserve"> for </w:t>
      </w:r>
      <w:r w:rsidR="00750230" w:rsidRPr="006C49EC">
        <w:t>better energy management</w:t>
      </w:r>
      <w:r w:rsidR="0071342F" w:rsidRPr="006C49EC">
        <w:t xml:space="preserve"> in</w:t>
      </w:r>
      <w:r w:rsidRPr="006C49EC">
        <w:t xml:space="preserve">to </w:t>
      </w:r>
      <w:r w:rsidR="007A2111" w:rsidRPr="006C49EC">
        <w:t>the site</w:t>
      </w:r>
      <w:r w:rsidR="007B064A" w:rsidRPr="006C49EC">
        <w:t>’</w:t>
      </w:r>
      <w:r w:rsidR="007A2111" w:rsidRPr="006C49EC">
        <w:t>s</w:t>
      </w:r>
      <w:r w:rsidR="0071342F" w:rsidRPr="006C49EC">
        <w:t xml:space="preserve"> </w:t>
      </w:r>
      <w:r w:rsidRPr="006C49EC">
        <w:t>business plans</w:t>
      </w:r>
      <w:r w:rsidR="00750230" w:rsidRPr="006C49EC">
        <w:t xml:space="preserve"> or a discrete energy plan</w:t>
      </w:r>
      <w:r w:rsidR="00B6003A" w:rsidRPr="006C49EC">
        <w:t>.</w:t>
      </w:r>
    </w:p>
    <w:p w:rsidR="00324A44" w:rsidRPr="006C49EC" w:rsidRDefault="00EB593F" w:rsidP="00324A44">
      <w:pPr>
        <w:pStyle w:val="Paragraph"/>
        <w:numPr>
          <w:ilvl w:val="0"/>
          <w:numId w:val="19"/>
        </w:numPr>
      </w:pPr>
      <w:r w:rsidRPr="006C49EC">
        <w:t>Monitor</w:t>
      </w:r>
      <w:r w:rsidR="00E33FE7" w:rsidRPr="006C49EC">
        <w:t xml:space="preserve"> </w:t>
      </w:r>
      <w:r w:rsidRPr="006C49EC">
        <w:t>and investigat</w:t>
      </w:r>
      <w:r w:rsidR="004A0777" w:rsidRPr="006C49EC">
        <w:t>e</w:t>
      </w:r>
      <w:r w:rsidR="00324A44" w:rsidRPr="006C49EC">
        <w:t xml:space="preserve"> performance against plans and communic</w:t>
      </w:r>
      <w:r w:rsidRPr="006C49EC">
        <w:t>ate</w:t>
      </w:r>
      <w:r w:rsidR="00324A44" w:rsidRPr="006C49EC">
        <w:t xml:space="preserve"> outcomes</w:t>
      </w:r>
      <w:r w:rsidR="00E54574" w:rsidRPr="006C49EC">
        <w:t>.</w:t>
      </w:r>
    </w:p>
    <w:p w:rsidR="00BA5C45" w:rsidRPr="006C49EC" w:rsidRDefault="00BA5C45">
      <w:pPr>
        <w:rPr>
          <w:rFonts w:asciiTheme="minorHAnsi" w:hAnsiTheme="minorHAnsi"/>
          <w:b/>
          <w:color w:val="5D0F68"/>
        </w:rPr>
      </w:pPr>
      <w:bookmarkStart w:id="8" w:name="_Toc275951203"/>
      <w:r w:rsidRPr="006C49EC">
        <w:br w:type="page"/>
      </w:r>
    </w:p>
    <w:p w:rsidR="00BA5C45" w:rsidRPr="006C49EC" w:rsidRDefault="00BA5C45" w:rsidP="00A5162C">
      <w:pPr>
        <w:pStyle w:val="Heading2"/>
        <w:spacing w:after="240"/>
      </w:pPr>
      <w:bookmarkStart w:id="9" w:name="_Toc359317040"/>
      <w:r w:rsidRPr="006C49EC">
        <w:lastRenderedPageBreak/>
        <w:t xml:space="preserve">Case study </w:t>
      </w:r>
      <w:r w:rsidR="00D465F4" w:rsidRPr="006C49EC">
        <w:t xml:space="preserve">- </w:t>
      </w:r>
      <w:r w:rsidR="00093D32" w:rsidRPr="006C49EC">
        <w:t xml:space="preserve"> X</w:t>
      </w:r>
      <w:r w:rsidR="0044608A" w:rsidRPr="006C49EC">
        <w:t xml:space="preserve"> &amp; Co Casting</w:t>
      </w:r>
      <w:bookmarkEnd w:id="9"/>
      <w:r w:rsidR="00750230" w:rsidRPr="006C49EC">
        <w:t xml:space="preserve"> </w:t>
      </w:r>
      <w:r w:rsidR="0067205B" w:rsidRPr="006C49EC">
        <w:t xml:space="preserve"> </w:t>
      </w:r>
    </w:p>
    <w:p w:rsidR="00AB679D" w:rsidRPr="006C49EC" w:rsidRDefault="00AB679D" w:rsidP="00AB679D">
      <w:pPr>
        <w:pStyle w:val="Paragraph"/>
        <w:sectPr w:rsidR="00AB679D" w:rsidRPr="006C49EC" w:rsidSect="000F4572">
          <w:headerReference w:type="default" r:id="rId18"/>
          <w:footerReference w:type="default" r:id="rId19"/>
          <w:pgSz w:w="16838" w:h="11899" w:orient="landscape" w:code="9"/>
          <w:pgMar w:top="1440" w:right="1440" w:bottom="1440" w:left="1440" w:header="851" w:footer="850" w:gutter="0"/>
          <w:pgNumType w:start="1"/>
          <w:cols w:space="720"/>
          <w:docGrid w:linePitch="326"/>
        </w:sectPr>
      </w:pPr>
    </w:p>
    <w:p w:rsidR="00AB679D" w:rsidRPr="006C49EC" w:rsidRDefault="00784A69" w:rsidP="0067205B">
      <w:pPr>
        <w:pStyle w:val="Paragraph"/>
        <w:rPr>
          <w:b/>
          <w:sz w:val="20"/>
          <w:szCs w:val="20"/>
          <w:lang w:eastAsia="zh-CN"/>
        </w:rPr>
      </w:pPr>
      <w:r w:rsidRPr="006C49EC">
        <w:rPr>
          <w:b/>
          <w:sz w:val="20"/>
          <w:szCs w:val="20"/>
          <w:lang w:eastAsia="zh-CN"/>
        </w:rPr>
        <w:lastRenderedPageBreak/>
        <w:t>The leadership team via an energy planning forum exposed the need f</w:t>
      </w:r>
      <w:r w:rsidR="007C6896" w:rsidRPr="006C49EC">
        <w:rPr>
          <w:b/>
          <w:sz w:val="20"/>
          <w:szCs w:val="20"/>
          <w:lang w:eastAsia="zh-CN"/>
        </w:rPr>
        <w:t xml:space="preserve">or an energy reduction target. </w:t>
      </w:r>
      <w:r w:rsidRPr="006C49EC">
        <w:rPr>
          <w:b/>
          <w:sz w:val="20"/>
          <w:szCs w:val="20"/>
          <w:lang w:eastAsia="zh-CN"/>
        </w:rPr>
        <w:t>However, variables in production and planned expa</w:t>
      </w:r>
      <w:r w:rsidR="007C6896" w:rsidRPr="006C49EC">
        <w:rPr>
          <w:b/>
          <w:sz w:val="20"/>
          <w:szCs w:val="20"/>
          <w:lang w:eastAsia="zh-CN"/>
        </w:rPr>
        <w:t xml:space="preserve">nsion reduce the usefulness of </w:t>
      </w:r>
      <w:r w:rsidRPr="006C49EC">
        <w:rPr>
          <w:b/>
          <w:sz w:val="20"/>
          <w:szCs w:val="20"/>
          <w:lang w:eastAsia="zh-CN"/>
        </w:rPr>
        <w:t>an overall reduction target.</w:t>
      </w:r>
      <w:r w:rsidR="00DB1D48" w:rsidRPr="006C49EC">
        <w:rPr>
          <w:b/>
          <w:sz w:val="20"/>
          <w:szCs w:val="20"/>
          <w:lang w:eastAsia="zh-CN"/>
        </w:rPr>
        <w:t xml:space="preserve">  X  &amp; Co cast engine manifolds for the motor vehicle industry.</w:t>
      </w:r>
    </w:p>
    <w:p w:rsidR="00AB679D" w:rsidRPr="006C49EC" w:rsidRDefault="00AB679D" w:rsidP="0067205B">
      <w:pPr>
        <w:autoSpaceDE w:val="0"/>
        <w:autoSpaceDN w:val="0"/>
        <w:adjustRightInd w:val="0"/>
        <w:rPr>
          <w:rFonts w:asciiTheme="minorHAnsi" w:eastAsia="Times" w:hAnsiTheme="minorHAnsi" w:cs="MyriadPro-Semibold"/>
          <w:b/>
          <w:bCs/>
          <w:noProof w:val="0"/>
          <w:color w:val="5D0F68"/>
          <w:szCs w:val="18"/>
        </w:rPr>
      </w:pPr>
    </w:p>
    <w:p w:rsidR="00AB679D" w:rsidRPr="006C49EC" w:rsidRDefault="00784A69" w:rsidP="0067205B">
      <w:pPr>
        <w:autoSpaceDE w:val="0"/>
        <w:autoSpaceDN w:val="0"/>
        <w:adjustRightInd w:val="0"/>
        <w:rPr>
          <w:rFonts w:asciiTheme="minorHAnsi" w:eastAsia="Times" w:hAnsiTheme="minorHAnsi" w:cs="MyriadPro-Semibold"/>
          <w:b/>
          <w:bCs/>
          <w:noProof w:val="0"/>
          <w:color w:val="5D0F68"/>
          <w:szCs w:val="18"/>
        </w:rPr>
      </w:pPr>
      <w:r w:rsidRPr="006C49EC">
        <w:rPr>
          <w:rFonts w:asciiTheme="minorHAnsi" w:eastAsia="Times" w:hAnsiTheme="minorHAnsi" w:cs="MyriadPro-Semibold"/>
          <w:b/>
          <w:bCs/>
          <w:noProof w:val="0"/>
          <w:color w:val="5D0F68"/>
          <w:szCs w:val="18"/>
        </w:rPr>
        <w:t>In brief</w:t>
      </w:r>
    </w:p>
    <w:p w:rsidR="00441DF8" w:rsidRPr="006C49EC" w:rsidRDefault="00DB1D48" w:rsidP="00DB7329">
      <w:pPr>
        <w:pStyle w:val="ListParagraph"/>
        <w:numPr>
          <w:ilvl w:val="0"/>
          <w:numId w:val="0"/>
        </w:numPr>
        <w:autoSpaceDE w:val="0"/>
        <w:autoSpaceDN w:val="0"/>
        <w:adjustRightInd w:val="0"/>
        <w:rPr>
          <w:sz w:val="20"/>
          <w:szCs w:val="20"/>
        </w:rPr>
      </w:pPr>
      <w:r w:rsidRPr="006C49EC">
        <w:rPr>
          <w:sz w:val="20"/>
          <w:szCs w:val="20"/>
        </w:rPr>
        <w:t>X</w:t>
      </w:r>
      <w:r w:rsidR="0044608A" w:rsidRPr="006C49EC">
        <w:rPr>
          <w:sz w:val="20"/>
          <w:szCs w:val="20"/>
        </w:rPr>
        <w:t xml:space="preserve"> &amp; Co</w:t>
      </w:r>
      <w:r w:rsidR="00BD24F7" w:rsidRPr="006C49EC">
        <w:rPr>
          <w:sz w:val="20"/>
          <w:szCs w:val="20"/>
        </w:rPr>
        <w:t xml:space="preserve"> </w:t>
      </w:r>
      <w:r w:rsidR="00784A69" w:rsidRPr="006C49EC">
        <w:rPr>
          <w:sz w:val="20"/>
          <w:szCs w:val="20"/>
        </w:rPr>
        <w:t xml:space="preserve"> uses more than 4.3 </w:t>
      </w:r>
      <w:r w:rsidR="00C51E45" w:rsidRPr="006C49EC">
        <w:rPr>
          <w:sz w:val="20"/>
          <w:szCs w:val="20"/>
        </w:rPr>
        <w:t xml:space="preserve">giga watts </w:t>
      </w:r>
      <w:r w:rsidR="00784A69" w:rsidRPr="006C49EC">
        <w:rPr>
          <w:sz w:val="20"/>
          <w:szCs w:val="20"/>
        </w:rPr>
        <w:t xml:space="preserve">(GW) of electricity and 3,300 </w:t>
      </w:r>
      <w:r w:rsidR="00C51E45" w:rsidRPr="006C49EC">
        <w:rPr>
          <w:sz w:val="20"/>
          <w:szCs w:val="20"/>
        </w:rPr>
        <w:t xml:space="preserve">giga joules </w:t>
      </w:r>
      <w:r w:rsidR="00784A69" w:rsidRPr="006C49EC">
        <w:rPr>
          <w:sz w:val="20"/>
          <w:szCs w:val="20"/>
        </w:rPr>
        <w:t xml:space="preserve">(GJ) of gas. The </w:t>
      </w:r>
      <w:r w:rsidR="0044608A" w:rsidRPr="006C49EC">
        <w:rPr>
          <w:sz w:val="20"/>
          <w:szCs w:val="20"/>
        </w:rPr>
        <w:t>site</w:t>
      </w:r>
      <w:r w:rsidR="00BD24F7" w:rsidRPr="006C49EC">
        <w:rPr>
          <w:sz w:val="20"/>
          <w:szCs w:val="20"/>
        </w:rPr>
        <w:t xml:space="preserve"> </w:t>
      </w:r>
      <w:r w:rsidR="00784A69" w:rsidRPr="006C49EC">
        <w:rPr>
          <w:sz w:val="20"/>
          <w:szCs w:val="20"/>
        </w:rPr>
        <w:t xml:space="preserve"> is planning an expansion of the facility which could deliver up to </w:t>
      </w:r>
      <w:r w:rsidR="007C6896" w:rsidRPr="006C49EC">
        <w:rPr>
          <w:sz w:val="20"/>
          <w:szCs w:val="20"/>
        </w:rPr>
        <w:t>four</w:t>
      </w:r>
      <w:r w:rsidR="00784A69" w:rsidRPr="006C49EC">
        <w:rPr>
          <w:sz w:val="20"/>
          <w:szCs w:val="20"/>
        </w:rPr>
        <w:t xml:space="preserve"> times the current production volume. The site does not trigger any energy regulations; however</w:t>
      </w:r>
      <w:r w:rsidR="007C6896" w:rsidRPr="006C49EC">
        <w:rPr>
          <w:sz w:val="20"/>
          <w:szCs w:val="20"/>
        </w:rPr>
        <w:t>,</w:t>
      </w:r>
      <w:r w:rsidR="00784A69" w:rsidRPr="006C49EC">
        <w:rPr>
          <w:sz w:val="20"/>
          <w:szCs w:val="20"/>
        </w:rPr>
        <w:t xml:space="preserve"> the need to reduc</w:t>
      </w:r>
      <w:r w:rsidR="007C6896" w:rsidRPr="006C49EC">
        <w:rPr>
          <w:sz w:val="20"/>
          <w:szCs w:val="20"/>
        </w:rPr>
        <w:t>e costs and maintain reputation</w:t>
      </w:r>
      <w:r w:rsidR="00784A69" w:rsidRPr="006C49EC">
        <w:rPr>
          <w:sz w:val="20"/>
          <w:szCs w:val="20"/>
        </w:rPr>
        <w:t xml:space="preserve"> are strong in the minds of the management team. </w:t>
      </w:r>
    </w:p>
    <w:p w:rsidR="00DB7329" w:rsidRPr="006C49EC" w:rsidRDefault="00784A69" w:rsidP="00DB7329">
      <w:pPr>
        <w:pStyle w:val="ListParagraph"/>
        <w:numPr>
          <w:ilvl w:val="0"/>
          <w:numId w:val="0"/>
        </w:numPr>
        <w:autoSpaceDE w:val="0"/>
        <w:autoSpaceDN w:val="0"/>
        <w:adjustRightInd w:val="0"/>
        <w:rPr>
          <w:sz w:val="20"/>
          <w:szCs w:val="20"/>
        </w:rPr>
      </w:pPr>
      <w:r w:rsidRPr="006C49EC">
        <w:rPr>
          <w:sz w:val="20"/>
          <w:szCs w:val="20"/>
        </w:rPr>
        <w:t>Some ad</w:t>
      </w:r>
      <w:r w:rsidR="007C6896" w:rsidRPr="006C49EC">
        <w:rPr>
          <w:sz w:val="20"/>
          <w:szCs w:val="20"/>
        </w:rPr>
        <w:t xml:space="preserve"> </w:t>
      </w:r>
      <w:r w:rsidRPr="006C49EC">
        <w:rPr>
          <w:sz w:val="20"/>
          <w:szCs w:val="20"/>
        </w:rPr>
        <w:t>hoc improvements have been implemented over the past two years</w:t>
      </w:r>
      <w:r w:rsidR="007C6896" w:rsidRPr="006C49EC">
        <w:rPr>
          <w:sz w:val="20"/>
          <w:szCs w:val="20"/>
        </w:rPr>
        <w:t>,</w:t>
      </w:r>
      <w:r w:rsidRPr="006C49EC">
        <w:rPr>
          <w:sz w:val="20"/>
          <w:szCs w:val="20"/>
        </w:rPr>
        <w:t xml:space="preserve"> including high bay lighting replacement (Mercury Vapour for T5) and temperature set-point optimisation for their continuous casters and extrusion presses. Despite these ad</w:t>
      </w:r>
      <w:r w:rsidR="007C6896" w:rsidRPr="006C49EC">
        <w:rPr>
          <w:sz w:val="20"/>
          <w:szCs w:val="20"/>
        </w:rPr>
        <w:t xml:space="preserve"> </w:t>
      </w:r>
      <w:r w:rsidRPr="006C49EC">
        <w:rPr>
          <w:sz w:val="20"/>
          <w:szCs w:val="20"/>
        </w:rPr>
        <w:t xml:space="preserve">hoc activities a recent energy review identified 20 savings opportunities with approximately $390,000 worth of savings with a one year payback. </w:t>
      </w:r>
    </w:p>
    <w:p w:rsidR="00DB7329" w:rsidRPr="006C49EC" w:rsidRDefault="00DB7329" w:rsidP="00DB7329">
      <w:pPr>
        <w:pStyle w:val="ListParagraph"/>
        <w:numPr>
          <w:ilvl w:val="0"/>
          <w:numId w:val="0"/>
        </w:numPr>
        <w:autoSpaceDE w:val="0"/>
        <w:autoSpaceDN w:val="0"/>
        <w:adjustRightInd w:val="0"/>
        <w:rPr>
          <w:sz w:val="20"/>
          <w:szCs w:val="20"/>
        </w:rPr>
      </w:pPr>
    </w:p>
    <w:p w:rsidR="00DB7329" w:rsidRPr="006C49EC" w:rsidRDefault="00784A69" w:rsidP="00DB7329">
      <w:pPr>
        <w:pStyle w:val="ListParagraph"/>
        <w:numPr>
          <w:ilvl w:val="0"/>
          <w:numId w:val="0"/>
        </w:numPr>
        <w:autoSpaceDE w:val="0"/>
        <w:autoSpaceDN w:val="0"/>
        <w:adjustRightInd w:val="0"/>
        <w:rPr>
          <w:sz w:val="20"/>
          <w:szCs w:val="20"/>
        </w:rPr>
      </w:pPr>
      <w:r w:rsidRPr="006C49EC">
        <w:rPr>
          <w:sz w:val="20"/>
          <w:szCs w:val="20"/>
        </w:rPr>
        <w:lastRenderedPageBreak/>
        <w:t>It was not expected that these opportunities would be implemented due to resource requirements and a lack of systems. The interface between current business plans, forecasted energy costs, the current capacity to implement and awareness of competition in the industry from off shore processing, were discussed at the energy planning forum</w:t>
      </w:r>
      <w:r w:rsidR="0044608A" w:rsidRPr="006C49EC">
        <w:rPr>
          <w:sz w:val="20"/>
          <w:szCs w:val="20"/>
        </w:rPr>
        <w:t xml:space="preserve">. </w:t>
      </w:r>
    </w:p>
    <w:p w:rsidR="0067205B" w:rsidRPr="006C49EC" w:rsidRDefault="0044608A" w:rsidP="00DB7329">
      <w:pPr>
        <w:pStyle w:val="ListParagraph"/>
        <w:numPr>
          <w:ilvl w:val="0"/>
          <w:numId w:val="0"/>
        </w:numPr>
        <w:autoSpaceDE w:val="0"/>
        <w:autoSpaceDN w:val="0"/>
        <w:adjustRightInd w:val="0"/>
        <w:rPr>
          <w:sz w:val="20"/>
          <w:szCs w:val="20"/>
        </w:rPr>
      </w:pPr>
      <w:r w:rsidRPr="006C49EC">
        <w:rPr>
          <w:sz w:val="20"/>
          <w:szCs w:val="20"/>
        </w:rPr>
        <w:t xml:space="preserve">The </w:t>
      </w:r>
      <w:r w:rsidR="00DB7329" w:rsidRPr="006C49EC">
        <w:rPr>
          <w:sz w:val="20"/>
          <w:szCs w:val="20"/>
        </w:rPr>
        <w:t>planning forum from M</w:t>
      </w:r>
      <w:r w:rsidRPr="006C49EC">
        <w:rPr>
          <w:sz w:val="20"/>
          <w:szCs w:val="20"/>
        </w:rPr>
        <w:t xml:space="preserve">odule1 of the EEM program was conducted  so that the leadership team could put a plan in place to </w:t>
      </w:r>
      <w:r w:rsidR="00093D32" w:rsidRPr="006C49EC">
        <w:rPr>
          <w:sz w:val="20"/>
          <w:szCs w:val="20"/>
        </w:rPr>
        <w:t>ensure</w:t>
      </w:r>
      <w:r w:rsidRPr="006C49EC">
        <w:rPr>
          <w:sz w:val="20"/>
          <w:szCs w:val="20"/>
        </w:rPr>
        <w:t xml:space="preserve"> these cost savings</w:t>
      </w:r>
      <w:r w:rsidR="00093D32" w:rsidRPr="006C49EC">
        <w:rPr>
          <w:sz w:val="20"/>
          <w:szCs w:val="20"/>
        </w:rPr>
        <w:t xml:space="preserve"> were delivered</w:t>
      </w:r>
      <w:r w:rsidR="00784A69" w:rsidRPr="006C49EC">
        <w:rPr>
          <w:sz w:val="20"/>
          <w:szCs w:val="20"/>
        </w:rPr>
        <w:t xml:space="preserve">. </w:t>
      </w:r>
    </w:p>
    <w:p w:rsidR="00AB679D" w:rsidRPr="006C49EC" w:rsidRDefault="00AB679D" w:rsidP="0067205B">
      <w:pPr>
        <w:autoSpaceDE w:val="0"/>
        <w:autoSpaceDN w:val="0"/>
        <w:adjustRightInd w:val="0"/>
        <w:rPr>
          <w:rFonts w:asciiTheme="minorHAnsi" w:eastAsia="Times" w:hAnsiTheme="minorHAnsi" w:cs="MyriadPro-Semibold"/>
          <w:b/>
          <w:bCs/>
          <w:noProof w:val="0"/>
          <w:color w:val="5D0F68"/>
          <w:szCs w:val="18"/>
        </w:rPr>
      </w:pPr>
    </w:p>
    <w:p w:rsidR="0067205B" w:rsidRPr="006C49EC" w:rsidRDefault="00784A69" w:rsidP="0067205B">
      <w:pPr>
        <w:autoSpaceDE w:val="0"/>
        <w:autoSpaceDN w:val="0"/>
        <w:adjustRightInd w:val="0"/>
        <w:rPr>
          <w:rFonts w:asciiTheme="minorHAnsi" w:eastAsia="Times" w:hAnsiTheme="minorHAnsi" w:cs="MyriadPro-Semibold"/>
          <w:b/>
          <w:bCs/>
          <w:noProof w:val="0"/>
          <w:color w:val="5D0F68"/>
          <w:szCs w:val="18"/>
        </w:rPr>
      </w:pPr>
      <w:r w:rsidRPr="006C49EC">
        <w:rPr>
          <w:rFonts w:asciiTheme="minorHAnsi" w:eastAsia="Times" w:hAnsiTheme="minorHAnsi" w:cs="MyriadPro-Semibold"/>
          <w:b/>
          <w:bCs/>
          <w:noProof w:val="0"/>
          <w:color w:val="5D0F68"/>
          <w:szCs w:val="18"/>
        </w:rPr>
        <w:t>Results</w:t>
      </w:r>
    </w:p>
    <w:p w:rsidR="001B3CCA" w:rsidRPr="006C49EC" w:rsidRDefault="00784A69" w:rsidP="001B3CCA">
      <w:pPr>
        <w:pStyle w:val="ListParagraph"/>
        <w:numPr>
          <w:ilvl w:val="0"/>
          <w:numId w:val="0"/>
        </w:numPr>
        <w:autoSpaceDE w:val="0"/>
        <w:autoSpaceDN w:val="0"/>
        <w:adjustRightInd w:val="0"/>
        <w:rPr>
          <w:sz w:val="20"/>
          <w:szCs w:val="20"/>
        </w:rPr>
      </w:pPr>
      <w:r w:rsidRPr="006C49EC">
        <w:rPr>
          <w:sz w:val="20"/>
          <w:szCs w:val="20"/>
        </w:rPr>
        <w:t>A series of targets have</w:t>
      </w:r>
      <w:r w:rsidR="00093D32" w:rsidRPr="006C49EC">
        <w:rPr>
          <w:sz w:val="20"/>
          <w:szCs w:val="20"/>
        </w:rPr>
        <w:t xml:space="preserve"> now</w:t>
      </w:r>
      <w:r w:rsidRPr="006C49EC">
        <w:rPr>
          <w:sz w:val="20"/>
          <w:szCs w:val="20"/>
        </w:rPr>
        <w:t xml:space="preserve"> been developed to accommodate the dynamic nature of production. At the moment, total production does not correlate with energy use due to the large percentage of air handling and space cooling which are not production dependants – the energy consumption of this equipment tends to skew results depending on the weather. </w:t>
      </w:r>
    </w:p>
    <w:p w:rsidR="00DB7329" w:rsidRPr="006C49EC" w:rsidRDefault="00784A69" w:rsidP="001B3CCA">
      <w:pPr>
        <w:pStyle w:val="ListParagraph"/>
        <w:numPr>
          <w:ilvl w:val="0"/>
          <w:numId w:val="0"/>
        </w:numPr>
        <w:autoSpaceDE w:val="0"/>
        <w:autoSpaceDN w:val="0"/>
        <w:adjustRightInd w:val="0"/>
        <w:rPr>
          <w:sz w:val="20"/>
          <w:szCs w:val="20"/>
        </w:rPr>
      </w:pPr>
      <w:r w:rsidRPr="006C49EC">
        <w:rPr>
          <w:sz w:val="20"/>
          <w:szCs w:val="20"/>
        </w:rPr>
        <w:t>As a result of this and the fact that the</w:t>
      </w:r>
      <w:r w:rsidR="00093D32" w:rsidRPr="006C49EC">
        <w:rPr>
          <w:sz w:val="20"/>
          <w:szCs w:val="20"/>
        </w:rPr>
        <w:t xml:space="preserve"> site</w:t>
      </w:r>
      <w:r w:rsidRPr="006C49EC">
        <w:rPr>
          <w:sz w:val="20"/>
          <w:szCs w:val="20"/>
        </w:rPr>
        <w:t xml:space="preserve"> has in place a relatively good sub-metering system, more area/equipment-specific targets were able to be developed. </w:t>
      </w:r>
    </w:p>
    <w:p w:rsidR="00333409" w:rsidRPr="006C49EC" w:rsidRDefault="00784A69" w:rsidP="001B3CCA">
      <w:pPr>
        <w:pStyle w:val="ListParagraph"/>
        <w:numPr>
          <w:ilvl w:val="0"/>
          <w:numId w:val="0"/>
        </w:numPr>
        <w:autoSpaceDE w:val="0"/>
        <w:autoSpaceDN w:val="0"/>
        <w:adjustRightInd w:val="0"/>
        <w:rPr>
          <w:sz w:val="20"/>
          <w:szCs w:val="20"/>
        </w:rPr>
      </w:pPr>
      <w:r w:rsidRPr="006C49EC">
        <w:rPr>
          <w:sz w:val="20"/>
          <w:szCs w:val="20"/>
        </w:rPr>
        <w:lastRenderedPageBreak/>
        <w:t>These included developing a kWh per kg of billets cast in the  casting department, an overall percentage reduction target for out of hours (base-load) consumption and reporting on energy consumption per</w:t>
      </w:r>
      <w:r w:rsidR="00DB1D48" w:rsidRPr="006C49EC">
        <w:rPr>
          <w:sz w:val="20"/>
          <w:szCs w:val="20"/>
        </w:rPr>
        <w:t xml:space="preserve"> mainfold</w:t>
      </w:r>
      <w:r w:rsidRPr="006C49EC">
        <w:rPr>
          <w:sz w:val="20"/>
          <w:szCs w:val="20"/>
        </w:rPr>
        <w:t xml:space="preserve"> (excluding weather</w:t>
      </w:r>
      <w:r w:rsidR="007C6896" w:rsidRPr="006C49EC">
        <w:rPr>
          <w:sz w:val="20"/>
          <w:szCs w:val="20"/>
        </w:rPr>
        <w:t>-</w:t>
      </w:r>
      <w:r w:rsidRPr="006C49EC">
        <w:rPr>
          <w:sz w:val="20"/>
          <w:szCs w:val="20"/>
        </w:rPr>
        <w:t>related energy consumption).</w:t>
      </w:r>
    </w:p>
    <w:p w:rsidR="001D2913" w:rsidRPr="006C49EC" w:rsidRDefault="00784A69" w:rsidP="001B3CCA">
      <w:pPr>
        <w:pStyle w:val="ListParagraph"/>
        <w:numPr>
          <w:ilvl w:val="0"/>
          <w:numId w:val="0"/>
        </w:numPr>
        <w:autoSpaceDE w:val="0"/>
        <w:autoSpaceDN w:val="0"/>
        <w:adjustRightInd w:val="0"/>
        <w:rPr>
          <w:sz w:val="20"/>
          <w:szCs w:val="20"/>
        </w:rPr>
      </w:pPr>
      <w:r w:rsidRPr="006C49EC">
        <w:rPr>
          <w:sz w:val="20"/>
          <w:szCs w:val="20"/>
        </w:rPr>
        <w:t>The targets will be achieved by rolling out a program of energy savings opportunities with a payback period of one year for all projects.</w:t>
      </w:r>
    </w:p>
    <w:p w:rsidR="0067205B" w:rsidRPr="006C49EC" w:rsidRDefault="00784A69" w:rsidP="001B3CCA">
      <w:pPr>
        <w:pStyle w:val="ListParagraph"/>
        <w:numPr>
          <w:ilvl w:val="0"/>
          <w:numId w:val="0"/>
        </w:numPr>
        <w:autoSpaceDE w:val="0"/>
        <w:autoSpaceDN w:val="0"/>
        <w:adjustRightInd w:val="0"/>
        <w:rPr>
          <w:sz w:val="20"/>
          <w:szCs w:val="20"/>
        </w:rPr>
      </w:pPr>
      <w:r w:rsidRPr="006C49EC">
        <w:rPr>
          <w:sz w:val="20"/>
          <w:szCs w:val="20"/>
        </w:rPr>
        <w:t>An annual reduction in carbon pollution which amounts to a little over 10% of their FY</w:t>
      </w:r>
      <w:r w:rsidR="007C6896" w:rsidRPr="006C49EC">
        <w:rPr>
          <w:sz w:val="20"/>
          <w:szCs w:val="20"/>
        </w:rPr>
        <w:t xml:space="preserve"> </w:t>
      </w:r>
      <w:r w:rsidRPr="006C49EC">
        <w:rPr>
          <w:sz w:val="20"/>
          <w:szCs w:val="20"/>
        </w:rPr>
        <w:t>2012 carbon emission tonnage.</w:t>
      </w:r>
    </w:p>
    <w:p w:rsidR="001D2913" w:rsidRPr="006C49EC" w:rsidRDefault="00784A69" w:rsidP="001B3CCA">
      <w:pPr>
        <w:pStyle w:val="ListParagraph"/>
        <w:numPr>
          <w:ilvl w:val="0"/>
          <w:numId w:val="0"/>
        </w:numPr>
        <w:autoSpaceDE w:val="0"/>
        <w:autoSpaceDN w:val="0"/>
        <w:adjustRightInd w:val="0"/>
        <w:rPr>
          <w:sz w:val="20"/>
          <w:szCs w:val="20"/>
        </w:rPr>
      </w:pPr>
      <w:r w:rsidRPr="006C49EC">
        <w:rPr>
          <w:sz w:val="20"/>
          <w:szCs w:val="20"/>
        </w:rPr>
        <w:t xml:space="preserve">Energy performance indicators for energy consumed per </w:t>
      </w:r>
      <w:r w:rsidR="00DB1D48" w:rsidRPr="006C49EC">
        <w:rPr>
          <w:sz w:val="20"/>
          <w:szCs w:val="20"/>
        </w:rPr>
        <w:t>manifold</w:t>
      </w:r>
      <w:r w:rsidR="00BD24F7" w:rsidRPr="006C49EC">
        <w:rPr>
          <w:sz w:val="20"/>
          <w:szCs w:val="20"/>
        </w:rPr>
        <w:t xml:space="preserve"> </w:t>
      </w:r>
      <w:r w:rsidRPr="006C49EC">
        <w:rPr>
          <w:sz w:val="20"/>
          <w:szCs w:val="20"/>
        </w:rPr>
        <w:t xml:space="preserve"> will be reported monthly at the management meeting and progress against targets reported to the CEO and the </w:t>
      </w:r>
      <w:r w:rsidR="007C6896" w:rsidRPr="006C49EC">
        <w:rPr>
          <w:sz w:val="20"/>
          <w:szCs w:val="20"/>
        </w:rPr>
        <w:t>B</w:t>
      </w:r>
      <w:r w:rsidRPr="006C49EC">
        <w:rPr>
          <w:sz w:val="20"/>
          <w:szCs w:val="20"/>
        </w:rPr>
        <w:t>oard to support reputation.</w:t>
      </w:r>
    </w:p>
    <w:p w:rsidR="00333409" w:rsidRPr="006C49EC" w:rsidRDefault="00784A69" w:rsidP="001B3CCA">
      <w:pPr>
        <w:pStyle w:val="ListParagraph"/>
        <w:numPr>
          <w:ilvl w:val="0"/>
          <w:numId w:val="0"/>
        </w:numPr>
        <w:autoSpaceDE w:val="0"/>
        <w:autoSpaceDN w:val="0"/>
        <w:adjustRightInd w:val="0"/>
        <w:rPr>
          <w:sz w:val="20"/>
          <w:szCs w:val="20"/>
        </w:rPr>
      </w:pPr>
      <w:r w:rsidRPr="006C49EC">
        <w:rPr>
          <w:sz w:val="20"/>
          <w:szCs w:val="20"/>
        </w:rPr>
        <w:t>Energy monitoring of energy intensive equipment including casters, extruders and air conditioning will be documented and integrated into the sites ISO</w:t>
      </w:r>
      <w:r w:rsidR="007C6896" w:rsidRPr="006C49EC">
        <w:rPr>
          <w:sz w:val="20"/>
          <w:szCs w:val="20"/>
        </w:rPr>
        <w:t xml:space="preserve"> </w:t>
      </w:r>
      <w:r w:rsidRPr="006C49EC">
        <w:rPr>
          <w:sz w:val="20"/>
          <w:szCs w:val="20"/>
        </w:rPr>
        <w:t>9000 quality system.</w:t>
      </w:r>
    </w:p>
    <w:p w:rsidR="00333409" w:rsidRPr="006C49EC" w:rsidRDefault="00784A69" w:rsidP="00DB7329">
      <w:pPr>
        <w:pStyle w:val="ListParagraph"/>
        <w:numPr>
          <w:ilvl w:val="0"/>
          <w:numId w:val="0"/>
        </w:numPr>
        <w:autoSpaceDE w:val="0"/>
        <w:autoSpaceDN w:val="0"/>
        <w:adjustRightInd w:val="0"/>
        <w:rPr>
          <w:sz w:val="20"/>
          <w:szCs w:val="20"/>
        </w:rPr>
        <w:sectPr w:rsidR="00333409" w:rsidRPr="006C49EC" w:rsidSect="000F588A">
          <w:type w:val="continuous"/>
          <w:pgSz w:w="16838" w:h="11899" w:orient="landscape" w:code="9"/>
          <w:pgMar w:top="1440" w:right="1440" w:bottom="1440" w:left="1440" w:header="851" w:footer="1247" w:gutter="0"/>
          <w:pgNumType w:start="1"/>
          <w:cols w:num="3" w:space="720"/>
          <w:docGrid w:linePitch="326"/>
        </w:sectPr>
      </w:pPr>
      <w:r w:rsidRPr="006C49EC">
        <w:rPr>
          <w:sz w:val="20"/>
          <w:szCs w:val="20"/>
        </w:rPr>
        <w:t>Accountabilities for energy reporting will be established to support the target and the underlying business drivers discussed at their planning forum.</w:t>
      </w:r>
      <w:r w:rsidRPr="006C49EC">
        <w:rPr>
          <w:sz w:val="20"/>
          <w:szCs w:val="20"/>
        </w:rPr>
        <w:br w:type="page"/>
      </w:r>
    </w:p>
    <w:p w:rsidR="00324A44" w:rsidRPr="006C49EC" w:rsidRDefault="00784A69" w:rsidP="00C6509D">
      <w:pPr>
        <w:pStyle w:val="Heading2"/>
        <w:spacing w:after="240"/>
      </w:pPr>
      <w:bookmarkStart w:id="10" w:name="_Toc359317041"/>
      <w:r w:rsidRPr="006C49EC">
        <w:lastRenderedPageBreak/>
        <w:t>Practice steps</w:t>
      </w:r>
      <w:bookmarkEnd w:id="8"/>
      <w:bookmarkEnd w:id="10"/>
    </w:p>
    <w:tbl>
      <w:tblPr>
        <w:tblW w:w="1414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3333"/>
        <w:gridCol w:w="10809"/>
      </w:tblGrid>
      <w:tr w:rsidR="00324A44" w:rsidRPr="006C49EC" w:rsidTr="00A5162C">
        <w:trPr>
          <w:cantSplit/>
          <w:trHeight w:val="382"/>
          <w:tblHeader/>
        </w:trPr>
        <w:tc>
          <w:tcPr>
            <w:tcW w:w="3333" w:type="dxa"/>
            <w:shd w:val="clear" w:color="auto" w:fill="5D0F68"/>
          </w:tcPr>
          <w:p w:rsidR="00324A44" w:rsidRPr="006C49EC" w:rsidRDefault="00784A69" w:rsidP="00A5162C">
            <w:pPr>
              <w:pStyle w:val="TableHeading"/>
            </w:pPr>
            <w:r w:rsidRPr="006C49EC">
              <w:t>Practice steps</w:t>
            </w:r>
          </w:p>
        </w:tc>
        <w:tc>
          <w:tcPr>
            <w:tcW w:w="10809" w:type="dxa"/>
            <w:shd w:val="clear" w:color="auto" w:fill="5D0F68"/>
          </w:tcPr>
          <w:p w:rsidR="00324A44" w:rsidRPr="006C49EC" w:rsidRDefault="00784A69" w:rsidP="00A5162C">
            <w:pPr>
              <w:pStyle w:val="TableHeading"/>
            </w:pPr>
            <w:r w:rsidRPr="006C49EC">
              <w:t>Description</w:t>
            </w:r>
          </w:p>
        </w:tc>
      </w:tr>
      <w:tr w:rsidR="00324A44" w:rsidRPr="006C49EC" w:rsidTr="00E96E7A">
        <w:trPr>
          <w:trHeight w:val="857"/>
        </w:trPr>
        <w:tc>
          <w:tcPr>
            <w:tcW w:w="3333" w:type="dxa"/>
            <w:shd w:val="clear" w:color="auto" w:fill="F3F3F3"/>
          </w:tcPr>
          <w:p w:rsidR="00204FFD" w:rsidRPr="006C49EC" w:rsidRDefault="00784A69" w:rsidP="00C51E45">
            <w:pPr>
              <w:pStyle w:val="TableText"/>
              <w:numPr>
                <w:ilvl w:val="0"/>
                <w:numId w:val="20"/>
              </w:numPr>
              <w:ind w:left="360"/>
              <w:rPr>
                <w:b/>
              </w:rPr>
            </w:pPr>
            <w:r w:rsidRPr="006C49EC">
              <w:rPr>
                <w:b/>
              </w:rPr>
              <w:t>Develop a high</w:t>
            </w:r>
            <w:r w:rsidR="00C51E45" w:rsidRPr="006C49EC">
              <w:rPr>
                <w:b/>
              </w:rPr>
              <w:t>-</w:t>
            </w:r>
            <w:r w:rsidRPr="006C49EC">
              <w:rPr>
                <w:b/>
              </w:rPr>
              <w:t>level view of your business’ energy use, carbon emissions and major business</w:t>
            </w:r>
            <w:r w:rsidRPr="006C49EC">
              <w:rPr>
                <w:rFonts w:eastAsia="Times"/>
                <w:b/>
                <w:noProof w:val="0"/>
              </w:rPr>
              <w:t xml:space="preserve"> </w:t>
            </w:r>
            <w:r w:rsidRPr="006C49EC">
              <w:rPr>
                <w:b/>
              </w:rPr>
              <w:t>inpu</w:t>
            </w:r>
            <w:r w:rsidR="00324A44" w:rsidRPr="006C49EC">
              <w:rPr>
                <w:b/>
              </w:rPr>
              <w:t>ts</w:t>
            </w:r>
            <w:bookmarkStart w:id="11" w:name="OLE_LINK1"/>
            <w:bookmarkStart w:id="12" w:name="OLE_LINK2"/>
            <w:r w:rsidR="004A0777" w:rsidRPr="006C49EC">
              <w:rPr>
                <w:b/>
              </w:rPr>
              <w:t>.</w:t>
            </w:r>
            <w:bookmarkEnd w:id="11"/>
            <w:bookmarkEnd w:id="12"/>
          </w:p>
        </w:tc>
        <w:tc>
          <w:tcPr>
            <w:tcW w:w="10809" w:type="dxa"/>
            <w:shd w:val="clear" w:color="auto" w:fill="F3F3F3"/>
          </w:tcPr>
          <w:p w:rsidR="00324A44" w:rsidRPr="006C49EC" w:rsidRDefault="00324A44" w:rsidP="00A5162C">
            <w:pPr>
              <w:pStyle w:val="TableText"/>
            </w:pPr>
            <w:r w:rsidRPr="006C49EC">
              <w:t xml:space="preserve">Prior to </w:t>
            </w:r>
            <w:r w:rsidR="003E60F0" w:rsidRPr="006C49EC">
              <w:t xml:space="preserve">involving </w:t>
            </w:r>
            <w:r w:rsidRPr="006C49EC">
              <w:t>senior personnel</w:t>
            </w:r>
            <w:r w:rsidR="003E60F0" w:rsidRPr="006C49EC">
              <w:t xml:space="preserve"> at a site, </w:t>
            </w:r>
            <w:r w:rsidRPr="006C49EC">
              <w:t xml:space="preserve">it is useful to understand </w:t>
            </w:r>
            <w:r w:rsidR="003E60F0" w:rsidRPr="006C49EC">
              <w:t xml:space="preserve">the scale of the resources consumed by </w:t>
            </w:r>
            <w:r w:rsidRPr="006C49EC">
              <w:t xml:space="preserve">your business and </w:t>
            </w:r>
            <w:r w:rsidR="003E60F0" w:rsidRPr="006C49EC">
              <w:t xml:space="preserve">the </w:t>
            </w:r>
            <w:r w:rsidRPr="006C49EC">
              <w:t>carbon emissions</w:t>
            </w:r>
            <w:r w:rsidR="003E60F0" w:rsidRPr="006C49EC">
              <w:t xml:space="preserve"> produced</w:t>
            </w:r>
            <w:r w:rsidRPr="006C49EC">
              <w:t xml:space="preserve">. </w:t>
            </w:r>
            <w:r w:rsidR="003E60F0" w:rsidRPr="006C49EC">
              <w:t xml:space="preserve">Once the volumes and costs are determined, you can see </w:t>
            </w:r>
            <w:r w:rsidR="00362A56" w:rsidRPr="006C49EC">
              <w:t xml:space="preserve">the </w:t>
            </w:r>
            <w:r w:rsidR="003E60F0" w:rsidRPr="006C49EC">
              <w:t xml:space="preserve">extent </w:t>
            </w:r>
            <w:r w:rsidR="00362A56" w:rsidRPr="006C49EC">
              <w:t xml:space="preserve">to which </w:t>
            </w:r>
            <w:r w:rsidRPr="006C49EC">
              <w:t xml:space="preserve">global trends </w:t>
            </w:r>
            <w:r w:rsidR="00362A56" w:rsidRPr="006C49EC">
              <w:t xml:space="preserve">are </w:t>
            </w:r>
            <w:r w:rsidRPr="006C49EC">
              <w:t>impacting your business. A high</w:t>
            </w:r>
            <w:r w:rsidR="00C51E45" w:rsidRPr="006C49EC">
              <w:t>-</w:t>
            </w:r>
            <w:r w:rsidRPr="006C49EC">
              <w:t>level u</w:t>
            </w:r>
            <w:r w:rsidR="002B47F1" w:rsidRPr="006C49EC">
              <w:t>nderstanding can be obtained by:</w:t>
            </w:r>
          </w:p>
          <w:p w:rsidR="00324A44" w:rsidRPr="006C49EC" w:rsidRDefault="00C51E45" w:rsidP="00C526A6">
            <w:pPr>
              <w:pStyle w:val="ListParagraphBullet"/>
            </w:pPr>
            <w:r w:rsidRPr="006C49EC">
              <w:t>a</w:t>
            </w:r>
            <w:r w:rsidR="00324A44" w:rsidRPr="006C49EC">
              <w:t>ccessing electricity, fuel, water a</w:t>
            </w:r>
            <w:r w:rsidR="00C1648E" w:rsidRPr="006C49EC">
              <w:t>nd wastewater invoices for the p</w:t>
            </w:r>
            <w:r w:rsidR="00324A44" w:rsidRPr="006C49EC">
              <w:t>ast year</w:t>
            </w:r>
          </w:p>
          <w:p w:rsidR="00324A44" w:rsidRPr="006C49EC" w:rsidRDefault="00C51E45" w:rsidP="00C526A6">
            <w:pPr>
              <w:pStyle w:val="ListParagraphBullet"/>
            </w:pPr>
            <w:r w:rsidRPr="006C49EC">
              <w:t>c</w:t>
            </w:r>
            <w:r w:rsidR="00324A44" w:rsidRPr="006C49EC">
              <w:t xml:space="preserve">onverting energy </w:t>
            </w:r>
            <w:r w:rsidR="003E60F0" w:rsidRPr="006C49EC">
              <w:t>data in</w:t>
            </w:r>
            <w:r w:rsidR="00324A44" w:rsidRPr="006C49EC">
              <w:t xml:space="preserve">to carbon emissions using conversion factors published by </w:t>
            </w:r>
            <w:r w:rsidRPr="006C49EC">
              <w:t>g</w:t>
            </w:r>
            <w:r w:rsidR="00324A44" w:rsidRPr="006C49EC">
              <w:t>overnment</w:t>
            </w:r>
          </w:p>
          <w:p w:rsidR="00324A44" w:rsidRPr="006C49EC" w:rsidRDefault="00C51E45" w:rsidP="00C526A6">
            <w:pPr>
              <w:pStyle w:val="ListParagraphBullet"/>
            </w:pPr>
            <w:r w:rsidRPr="006C49EC">
              <w:t>a</w:t>
            </w:r>
            <w:r w:rsidR="00324A44" w:rsidRPr="006C49EC">
              <w:t>ccessing other input data</w:t>
            </w:r>
            <w:r w:rsidRPr="006C49EC">
              <w:t>,</w:t>
            </w:r>
            <w:r w:rsidR="00324A44" w:rsidRPr="006C49EC">
              <w:t xml:space="preserve"> such as packaging, raw materials, chemicals and transport</w:t>
            </w:r>
          </w:p>
          <w:p w:rsidR="00324A44" w:rsidRPr="006C49EC" w:rsidRDefault="00C51E45" w:rsidP="00C526A6">
            <w:pPr>
              <w:pStyle w:val="ListParagraphBullet"/>
            </w:pPr>
            <w:r w:rsidRPr="006C49EC">
              <w:t>o</w:t>
            </w:r>
            <w:r w:rsidR="00324A44" w:rsidRPr="006C49EC">
              <w:t>btaining production data for the last year</w:t>
            </w:r>
            <w:r w:rsidR="00362A56" w:rsidRPr="006C49EC">
              <w:t>.</w:t>
            </w:r>
          </w:p>
          <w:p w:rsidR="00324A44" w:rsidRPr="006C49EC" w:rsidRDefault="00324A44" w:rsidP="00B92200">
            <w:pPr>
              <w:pStyle w:val="TableText"/>
            </w:pPr>
            <w:r w:rsidRPr="006C49EC">
              <w:t xml:space="preserve">This information can be summarised using a simple </w:t>
            </w:r>
            <w:r w:rsidR="00B92200" w:rsidRPr="006C49EC">
              <w:rPr>
                <w:b/>
              </w:rPr>
              <w:t>Energy b</w:t>
            </w:r>
            <w:r w:rsidRPr="006C49EC">
              <w:rPr>
                <w:b/>
              </w:rPr>
              <w:t>aseline tool</w:t>
            </w:r>
            <w:r w:rsidRPr="006C49EC">
              <w:t xml:space="preserve"> with relevant commentary that explains current performance, and used as input to Step 2. </w:t>
            </w:r>
          </w:p>
        </w:tc>
      </w:tr>
      <w:tr w:rsidR="00324A44" w:rsidRPr="006C49EC" w:rsidTr="00E96E7A">
        <w:trPr>
          <w:trHeight w:val="616"/>
        </w:trPr>
        <w:tc>
          <w:tcPr>
            <w:tcW w:w="3333" w:type="dxa"/>
            <w:shd w:val="clear" w:color="auto" w:fill="F3F3F3"/>
          </w:tcPr>
          <w:p w:rsidR="00204FFD" w:rsidRPr="006C49EC" w:rsidRDefault="00332B21" w:rsidP="00C51E45">
            <w:pPr>
              <w:pStyle w:val="TableText"/>
              <w:numPr>
                <w:ilvl w:val="0"/>
                <w:numId w:val="20"/>
              </w:numPr>
              <w:ind w:left="360"/>
              <w:rPr>
                <w:b/>
              </w:rPr>
            </w:pPr>
            <w:r w:rsidRPr="006C49EC">
              <w:rPr>
                <w:b/>
              </w:rPr>
              <w:t xml:space="preserve">Understand trends and the benefits to your </w:t>
            </w:r>
            <w:r w:rsidR="00264807" w:rsidRPr="006C49EC">
              <w:rPr>
                <w:b/>
              </w:rPr>
              <w:t xml:space="preserve">business </w:t>
            </w:r>
            <w:r w:rsidRPr="006C49EC">
              <w:rPr>
                <w:b/>
              </w:rPr>
              <w:t>of</w:t>
            </w:r>
            <w:r w:rsidR="00264807" w:rsidRPr="006C49EC">
              <w:rPr>
                <w:b/>
              </w:rPr>
              <w:t xml:space="preserve"> better energy</w:t>
            </w:r>
            <w:r w:rsidR="00B92200" w:rsidRPr="006C49EC">
              <w:rPr>
                <w:b/>
              </w:rPr>
              <w:t xml:space="preserve"> and </w:t>
            </w:r>
            <w:r w:rsidR="00264807" w:rsidRPr="006C49EC">
              <w:rPr>
                <w:b/>
              </w:rPr>
              <w:t>carbon management</w:t>
            </w:r>
            <w:r w:rsidR="00C51E45" w:rsidRPr="006C49EC">
              <w:rPr>
                <w:b/>
              </w:rPr>
              <w:t xml:space="preserve">. </w:t>
            </w:r>
            <w:r w:rsidRPr="006C49EC">
              <w:rPr>
                <w:b/>
              </w:rPr>
              <w:t>E</w:t>
            </w:r>
            <w:r w:rsidR="00264807" w:rsidRPr="006C49EC">
              <w:rPr>
                <w:b/>
              </w:rPr>
              <w:t>ngage site management to identify high</w:t>
            </w:r>
            <w:r w:rsidR="00C51E45" w:rsidRPr="006C49EC">
              <w:rPr>
                <w:b/>
              </w:rPr>
              <w:t>-</w:t>
            </w:r>
            <w:r w:rsidR="00264807" w:rsidRPr="006C49EC">
              <w:rPr>
                <w:b/>
              </w:rPr>
              <w:t>level plans.</w:t>
            </w:r>
          </w:p>
        </w:tc>
        <w:tc>
          <w:tcPr>
            <w:tcW w:w="10809" w:type="dxa"/>
            <w:shd w:val="clear" w:color="auto" w:fill="F3F3F3"/>
          </w:tcPr>
          <w:p w:rsidR="00B92200" w:rsidRPr="006C49EC" w:rsidRDefault="00264807" w:rsidP="00264807">
            <w:pPr>
              <w:pStyle w:val="TableText"/>
            </w:pPr>
            <w:r w:rsidRPr="006C49EC">
              <w:t>To better inform business planning, it is important that global and regional trends in energy, carbon, resource availability and the economy are understood. Your business should make itself ready for the short, medium</w:t>
            </w:r>
            <w:r w:rsidR="00332B21" w:rsidRPr="006C49EC">
              <w:t xml:space="preserve"> </w:t>
            </w:r>
            <w:r w:rsidRPr="006C49EC">
              <w:t xml:space="preserve">and possibly long-term risks and opportunities emerging from these trends. </w:t>
            </w:r>
          </w:p>
          <w:p w:rsidR="00264807" w:rsidRPr="006C49EC" w:rsidRDefault="00264807" w:rsidP="00264807">
            <w:pPr>
              <w:pStyle w:val="TableText"/>
            </w:pPr>
            <w:r w:rsidRPr="006C49EC">
              <w:t>To facilitate this you should:</w:t>
            </w:r>
          </w:p>
          <w:p w:rsidR="00264807" w:rsidRPr="006C49EC" w:rsidRDefault="00C51E45" w:rsidP="00264807">
            <w:pPr>
              <w:pStyle w:val="ListParagraphBullet"/>
            </w:pPr>
            <w:r w:rsidRPr="006C49EC">
              <w:t>r</w:t>
            </w:r>
            <w:r w:rsidR="00264807" w:rsidRPr="006C49EC">
              <w:t>esearch the external trends impacting your business, focusing on trends in energy, carbon and water that affect your supply c</w:t>
            </w:r>
            <w:r w:rsidRPr="006C49EC">
              <w:t>hain as well as your operations</w:t>
            </w:r>
          </w:p>
          <w:p w:rsidR="00264807" w:rsidRPr="006C49EC" w:rsidRDefault="00C51E45" w:rsidP="00264807">
            <w:pPr>
              <w:pStyle w:val="ListParagraphBullet"/>
            </w:pPr>
            <w:r w:rsidRPr="006C49EC">
              <w:t>p</w:t>
            </w:r>
            <w:r w:rsidR="00264807" w:rsidRPr="006C49EC">
              <w:t xml:space="preserve">resent these global trends </w:t>
            </w:r>
            <w:r w:rsidR="00C1648E" w:rsidRPr="006C49EC">
              <w:t>for the f</w:t>
            </w:r>
            <w:r w:rsidR="00264807" w:rsidRPr="006C49EC">
              <w:t xml:space="preserve">oundries industry and your business to the </w:t>
            </w:r>
            <w:r w:rsidRPr="006C49EC">
              <w:t>Site Leadership Team (SLT)</w:t>
            </w:r>
            <w:r w:rsidR="00264807" w:rsidRPr="006C49EC">
              <w:t>.</w:t>
            </w:r>
          </w:p>
          <w:p w:rsidR="00264807" w:rsidRPr="006C49EC" w:rsidRDefault="00264807" w:rsidP="00264807">
            <w:pPr>
              <w:pStyle w:val="TableText"/>
            </w:pPr>
            <w:r w:rsidRPr="006C49EC">
              <w:t>Consider current business plans and identify the implications of these trends for your business.</w:t>
            </w:r>
          </w:p>
          <w:p w:rsidR="00324A44" w:rsidRPr="006C49EC" w:rsidRDefault="00324A44" w:rsidP="00A5162C">
            <w:pPr>
              <w:pStyle w:val="TableText"/>
            </w:pPr>
            <w:r w:rsidRPr="006C49EC">
              <w:t>To progress the strategic thinking around these global trends, a range of stakeholders should be c</w:t>
            </w:r>
            <w:r w:rsidR="002B47F1" w:rsidRPr="006C49EC">
              <w:t xml:space="preserve">onsulted and their </w:t>
            </w:r>
            <w:r w:rsidR="008D366E" w:rsidRPr="006C49EC">
              <w:t>support obtained,</w:t>
            </w:r>
            <w:r w:rsidRPr="006C49EC">
              <w:t xml:space="preserve"> as follows:</w:t>
            </w:r>
          </w:p>
          <w:p w:rsidR="00324A44" w:rsidRPr="006C49EC" w:rsidRDefault="004A1261" w:rsidP="00C526A6">
            <w:pPr>
              <w:pStyle w:val="ListParagraphBullet"/>
              <w:rPr>
                <w:u w:val="single"/>
              </w:rPr>
            </w:pPr>
            <w:r w:rsidRPr="006C49EC">
              <w:t xml:space="preserve">Use the </w:t>
            </w:r>
            <w:r w:rsidRPr="006C49EC">
              <w:rPr>
                <w:b/>
              </w:rPr>
              <w:t>Energy and business planning facilitator runsheet</w:t>
            </w:r>
            <w:r w:rsidRPr="006C49EC">
              <w:t xml:space="preserve"> to run a </w:t>
            </w:r>
            <w:r w:rsidR="00324A44" w:rsidRPr="006C49EC">
              <w:t xml:space="preserve">global trends planning </w:t>
            </w:r>
            <w:r w:rsidRPr="006C49EC">
              <w:t>forum</w:t>
            </w:r>
            <w:r w:rsidR="00324A44" w:rsidRPr="006C49EC">
              <w:t xml:space="preserve"> with the </w:t>
            </w:r>
            <w:r w:rsidR="00C51E45" w:rsidRPr="006C49EC">
              <w:t>SLT</w:t>
            </w:r>
            <w:r w:rsidR="00324A44" w:rsidRPr="006C49EC">
              <w:t xml:space="preserve"> to better understand how environmental sustainability impacts your business through:</w:t>
            </w:r>
          </w:p>
          <w:p w:rsidR="00324A44" w:rsidRPr="006C49EC" w:rsidRDefault="00C51E45" w:rsidP="00C526A6">
            <w:pPr>
              <w:pStyle w:val="ListParagraph"/>
              <w:numPr>
                <w:ilvl w:val="0"/>
                <w:numId w:val="22"/>
              </w:numPr>
              <w:rPr>
                <w:u w:val="single"/>
              </w:rPr>
            </w:pPr>
            <w:r w:rsidRPr="006C49EC">
              <w:lastRenderedPageBreak/>
              <w:t>a</w:t>
            </w:r>
            <w:r w:rsidR="00324A44" w:rsidRPr="006C49EC">
              <w:t xml:space="preserve"> </w:t>
            </w:r>
            <w:r w:rsidR="00324A44" w:rsidRPr="006C49EC">
              <w:rPr>
                <w:b/>
              </w:rPr>
              <w:t>global trends</w:t>
            </w:r>
            <w:r w:rsidR="00324A44" w:rsidRPr="006C49EC">
              <w:t xml:space="preserve"> presentation</w:t>
            </w:r>
          </w:p>
          <w:p w:rsidR="00324A44" w:rsidRPr="006C49EC" w:rsidRDefault="00C51E45" w:rsidP="00C526A6">
            <w:pPr>
              <w:pStyle w:val="ListParagraph"/>
              <w:numPr>
                <w:ilvl w:val="0"/>
                <w:numId w:val="22"/>
              </w:numPr>
              <w:rPr>
                <w:u w:val="single"/>
              </w:rPr>
            </w:pPr>
            <w:r w:rsidRPr="006C49EC">
              <w:t>a</w:t>
            </w:r>
            <w:r w:rsidR="00324A44" w:rsidRPr="006C49EC">
              <w:t xml:space="preserve"> presentation of current performance in resource consumption and business inputs, as well as any current goals or targets</w:t>
            </w:r>
          </w:p>
          <w:p w:rsidR="00324A44" w:rsidRPr="006C49EC" w:rsidRDefault="00C51E45" w:rsidP="00C526A6">
            <w:pPr>
              <w:pStyle w:val="ListParagraph"/>
              <w:numPr>
                <w:ilvl w:val="0"/>
                <w:numId w:val="22"/>
              </w:numPr>
              <w:rPr>
                <w:u w:val="single"/>
              </w:rPr>
            </w:pPr>
            <w:r w:rsidRPr="006C49EC">
              <w:t>a</w:t>
            </w:r>
            <w:r w:rsidR="00324A44" w:rsidRPr="006C49EC">
              <w:t xml:space="preserve"> presentation of the current business plans</w:t>
            </w:r>
          </w:p>
          <w:p w:rsidR="00324A44" w:rsidRPr="006C49EC" w:rsidRDefault="00C51E45" w:rsidP="00C526A6">
            <w:pPr>
              <w:pStyle w:val="ListParagraph"/>
              <w:numPr>
                <w:ilvl w:val="0"/>
                <w:numId w:val="22"/>
              </w:numPr>
              <w:rPr>
                <w:u w:val="single"/>
              </w:rPr>
            </w:pPr>
            <w:r w:rsidRPr="006C49EC">
              <w:t>i</w:t>
            </w:r>
            <w:r w:rsidR="00324A44" w:rsidRPr="006C49EC">
              <w:t>dentification of risks and opportunities and the development of goals and targets</w:t>
            </w:r>
          </w:p>
          <w:p w:rsidR="00324A44" w:rsidRPr="006C49EC" w:rsidRDefault="00C51E45" w:rsidP="00C526A6">
            <w:pPr>
              <w:pStyle w:val="ListParagraphBullet"/>
              <w:rPr>
                <w:u w:val="single"/>
              </w:rPr>
            </w:pPr>
            <w:r w:rsidRPr="006C49EC">
              <w:t>o</w:t>
            </w:r>
            <w:r w:rsidR="00324A44" w:rsidRPr="006C49EC">
              <w:t>nce management buy-in is achieved, a similar presentation and summary of workshop outcomes can be presented in, say, a toolbox session to obtain</w:t>
            </w:r>
            <w:r w:rsidR="002B47F1" w:rsidRPr="006C49EC">
              <w:t xml:space="preserve"> </w:t>
            </w:r>
            <w:r w:rsidR="00917CC9" w:rsidRPr="006C49EC">
              <w:t xml:space="preserve">the support of </w:t>
            </w:r>
            <w:r w:rsidR="002B47F1" w:rsidRPr="006C49EC">
              <w:t>site personnel</w:t>
            </w:r>
          </w:p>
          <w:p w:rsidR="00324A44" w:rsidRPr="006C49EC" w:rsidRDefault="00C51E45" w:rsidP="00C526A6">
            <w:pPr>
              <w:pStyle w:val="ListParagraphBullet"/>
              <w:rPr>
                <w:u w:val="single"/>
              </w:rPr>
            </w:pPr>
            <w:r w:rsidRPr="006C49EC">
              <w:t>l</w:t>
            </w:r>
            <w:r w:rsidR="00324A44" w:rsidRPr="006C49EC">
              <w:t>etters to suppliers will inform supply chain partners of any changes you make, and alert them to the fact that this may impact the way you conduct business with them</w:t>
            </w:r>
          </w:p>
        </w:tc>
      </w:tr>
      <w:tr w:rsidR="00324A44" w:rsidRPr="006C49EC" w:rsidTr="00E96E7A">
        <w:trPr>
          <w:trHeight w:val="84"/>
        </w:trPr>
        <w:tc>
          <w:tcPr>
            <w:tcW w:w="3333" w:type="dxa"/>
            <w:shd w:val="clear" w:color="auto" w:fill="F3F3F3"/>
          </w:tcPr>
          <w:p w:rsidR="00324A44" w:rsidRPr="006C49EC" w:rsidRDefault="00324A44" w:rsidP="00C51E45">
            <w:pPr>
              <w:pStyle w:val="TableText"/>
              <w:numPr>
                <w:ilvl w:val="0"/>
                <w:numId w:val="20"/>
              </w:numPr>
              <w:ind w:left="360"/>
              <w:rPr>
                <w:b/>
              </w:rPr>
            </w:pPr>
            <w:r w:rsidRPr="006C49EC">
              <w:rPr>
                <w:b/>
              </w:rPr>
              <w:lastRenderedPageBreak/>
              <w:t>Recogni</w:t>
            </w:r>
            <w:r w:rsidR="002B47F1" w:rsidRPr="006C49EC">
              <w:rPr>
                <w:b/>
              </w:rPr>
              <w:t>s</w:t>
            </w:r>
            <w:r w:rsidRPr="006C49EC">
              <w:rPr>
                <w:b/>
              </w:rPr>
              <w:t>e high</w:t>
            </w:r>
            <w:r w:rsidR="00C51E45" w:rsidRPr="006C49EC">
              <w:rPr>
                <w:b/>
              </w:rPr>
              <w:t>-</w:t>
            </w:r>
            <w:r w:rsidRPr="006C49EC">
              <w:rPr>
                <w:b/>
              </w:rPr>
              <w:t>level opportunities and risks to be integrated into plans (that require further investigation)</w:t>
            </w:r>
            <w:r w:rsidR="00C51E45" w:rsidRPr="006C49EC">
              <w:rPr>
                <w:b/>
              </w:rPr>
              <w:t>.</w:t>
            </w:r>
          </w:p>
        </w:tc>
        <w:tc>
          <w:tcPr>
            <w:tcW w:w="10809" w:type="dxa"/>
            <w:shd w:val="clear" w:color="auto" w:fill="F3F3F3"/>
          </w:tcPr>
          <w:p w:rsidR="00324A44" w:rsidRPr="006C49EC" w:rsidRDefault="00324A44" w:rsidP="00A5162C">
            <w:pPr>
              <w:pStyle w:val="TableText"/>
            </w:pPr>
            <w:r w:rsidRPr="006C49EC">
              <w:t>As a component of the above planning forum, it may be worth</w:t>
            </w:r>
            <w:r w:rsidR="002B47F1" w:rsidRPr="006C49EC">
              <w:t xml:space="preserve"> further</w:t>
            </w:r>
            <w:r w:rsidRPr="006C49EC">
              <w:t xml:space="preserve"> investigating risks and opportunities identified by:</w:t>
            </w:r>
          </w:p>
          <w:p w:rsidR="00324A44" w:rsidRPr="006C49EC" w:rsidRDefault="00C51E45" w:rsidP="007341A4">
            <w:pPr>
              <w:pStyle w:val="ListParagraphBullet"/>
            </w:pPr>
            <w:r w:rsidRPr="006C49EC">
              <w:t>d</w:t>
            </w:r>
            <w:r w:rsidR="00324A44" w:rsidRPr="006C49EC">
              <w:t>eveloping a matrix that identifies, ranks and prioriti</w:t>
            </w:r>
            <w:r w:rsidR="002B47F1" w:rsidRPr="006C49EC">
              <w:t>s</w:t>
            </w:r>
            <w:r w:rsidR="00324A44" w:rsidRPr="006C49EC">
              <w:t>es risks and opportunities considering the impact on your business and the timeframe in</w:t>
            </w:r>
            <w:r w:rsidR="002B47F1" w:rsidRPr="006C49EC">
              <w:t xml:space="preserve"> which they are likely to occur</w:t>
            </w:r>
          </w:p>
          <w:p w:rsidR="00324A44" w:rsidRPr="006C49EC" w:rsidRDefault="00C51E45" w:rsidP="007341A4">
            <w:pPr>
              <w:pStyle w:val="ListParagraphBullet"/>
            </w:pPr>
            <w:r w:rsidRPr="006C49EC">
              <w:t>d</w:t>
            </w:r>
            <w:r w:rsidR="002B47F1" w:rsidRPr="006C49EC">
              <w:t>eveloping</w:t>
            </w:r>
            <w:r w:rsidR="00324A44" w:rsidRPr="006C49EC">
              <w:t xml:space="preserve"> a matrix that helps your leadership team decide on its strategic priorities </w:t>
            </w:r>
            <w:r w:rsidR="00917CC9" w:rsidRPr="006C49EC">
              <w:t xml:space="preserve">for inlusion </w:t>
            </w:r>
            <w:r w:rsidR="00324A44" w:rsidRPr="006C49EC">
              <w:t xml:space="preserve">in your </w:t>
            </w:r>
            <w:r w:rsidRPr="006C49EC">
              <w:t>e</w:t>
            </w:r>
            <w:r w:rsidR="007F52DA" w:rsidRPr="006C49EC">
              <w:t>nergy</w:t>
            </w:r>
            <w:r w:rsidRPr="006C49EC">
              <w:t xml:space="preserve"> </w:t>
            </w:r>
            <w:r w:rsidR="007F52DA" w:rsidRPr="006C49EC">
              <w:t>plan</w:t>
            </w:r>
            <w:r w:rsidR="00324A44" w:rsidRPr="006C49EC">
              <w:t>, as part of</w:t>
            </w:r>
            <w:r w:rsidR="002B47F1" w:rsidRPr="006C49EC">
              <w:t xml:space="preserve"> your business planning process</w:t>
            </w:r>
          </w:p>
          <w:p w:rsidR="00324A44" w:rsidRPr="006C49EC" w:rsidRDefault="00C51E45" w:rsidP="007341A4">
            <w:pPr>
              <w:pStyle w:val="ListParagraphBullet"/>
            </w:pPr>
            <w:r w:rsidRPr="006C49EC">
              <w:t>r</w:t>
            </w:r>
            <w:r w:rsidR="00324A44" w:rsidRPr="006C49EC">
              <w:t xml:space="preserve">outinely reviewing your risk/opportunities </w:t>
            </w:r>
            <w:r w:rsidR="002B47F1" w:rsidRPr="006C49EC">
              <w:t>as part of business planning</w:t>
            </w:r>
          </w:p>
        </w:tc>
      </w:tr>
      <w:tr w:rsidR="00324A44" w:rsidRPr="006C49EC" w:rsidTr="00E96E7A">
        <w:trPr>
          <w:cantSplit/>
          <w:trHeight w:val="424"/>
        </w:trPr>
        <w:tc>
          <w:tcPr>
            <w:tcW w:w="3333" w:type="dxa"/>
            <w:shd w:val="clear" w:color="auto" w:fill="F3F3F3"/>
          </w:tcPr>
          <w:p w:rsidR="005F22E1" w:rsidRPr="006C49EC" w:rsidRDefault="00324A44" w:rsidP="005F22E1">
            <w:pPr>
              <w:pStyle w:val="TableText"/>
              <w:numPr>
                <w:ilvl w:val="0"/>
                <w:numId w:val="20"/>
              </w:numPr>
              <w:ind w:left="360"/>
              <w:rPr>
                <w:b/>
              </w:rPr>
            </w:pPr>
            <w:r w:rsidRPr="006C49EC">
              <w:rPr>
                <w:b/>
              </w:rPr>
              <w:lastRenderedPageBreak/>
              <w:t>Facilitate integration of strategic priorities</w:t>
            </w:r>
            <w:r w:rsidR="007A2111" w:rsidRPr="006C49EC">
              <w:rPr>
                <w:b/>
              </w:rPr>
              <w:t xml:space="preserve"> for sustainability into the site</w:t>
            </w:r>
            <w:r w:rsidR="00917CC9" w:rsidRPr="006C49EC">
              <w:rPr>
                <w:b/>
              </w:rPr>
              <w:t>’</w:t>
            </w:r>
            <w:r w:rsidR="007A2111" w:rsidRPr="006C49EC">
              <w:rPr>
                <w:b/>
              </w:rPr>
              <w:t>s</w:t>
            </w:r>
            <w:r w:rsidRPr="006C49EC">
              <w:rPr>
                <w:b/>
              </w:rPr>
              <w:t xml:space="preserve"> business plans</w:t>
            </w:r>
            <w:r w:rsidR="00C51E45" w:rsidRPr="006C49EC">
              <w:rPr>
                <w:b/>
              </w:rPr>
              <w:t>.</w:t>
            </w:r>
          </w:p>
        </w:tc>
        <w:tc>
          <w:tcPr>
            <w:tcW w:w="10809" w:type="dxa"/>
            <w:shd w:val="clear" w:color="auto" w:fill="F3F3F3"/>
          </w:tcPr>
          <w:p w:rsidR="00324A44" w:rsidRPr="006C49EC" w:rsidRDefault="00324A44" w:rsidP="00A5162C">
            <w:pPr>
              <w:pStyle w:val="TableText"/>
            </w:pPr>
            <w:r w:rsidRPr="006C49EC">
              <w:t>To ensure the identified goals, targets and priority (risk/opportunity) actions are carried out</w:t>
            </w:r>
            <w:r w:rsidR="0007083B" w:rsidRPr="006C49EC">
              <w:t>,</w:t>
            </w:r>
            <w:r w:rsidRPr="006C49EC">
              <w:t xml:space="preserve"> the </w:t>
            </w:r>
            <w:r w:rsidR="00C51E45" w:rsidRPr="006C49EC">
              <w:t>e</w:t>
            </w:r>
            <w:r w:rsidR="007F52DA" w:rsidRPr="006C49EC">
              <w:t>nergy</w:t>
            </w:r>
            <w:r w:rsidRPr="006C49EC">
              <w:t xml:space="preserve"> </w:t>
            </w:r>
            <w:r w:rsidR="00C51E45" w:rsidRPr="006C49EC">
              <w:t xml:space="preserve">plan </w:t>
            </w:r>
            <w:r w:rsidRPr="006C49EC">
              <w:t>should be integr</w:t>
            </w:r>
            <w:r w:rsidR="002B47F1" w:rsidRPr="006C49EC">
              <w:t>ated in your business plan.</w:t>
            </w:r>
          </w:p>
          <w:p w:rsidR="00324A44" w:rsidRPr="006C49EC" w:rsidRDefault="00324A44" w:rsidP="007341A4">
            <w:pPr>
              <w:pStyle w:val="ListParagraphBullet"/>
            </w:pPr>
            <w:r w:rsidRPr="006C49EC">
              <w:t>Arising from the analysis of risks and opportunities</w:t>
            </w:r>
            <w:r w:rsidR="0007083B" w:rsidRPr="006C49EC">
              <w:t>,</w:t>
            </w:r>
            <w:r w:rsidRPr="006C49EC">
              <w:t xml:space="preserve"> you should develop a set of questions that reflect your strategic response to the global trends. From this, relevant information </w:t>
            </w:r>
            <w:r w:rsidR="0007083B" w:rsidRPr="006C49EC">
              <w:t>should be collated</w:t>
            </w:r>
            <w:r w:rsidR="00917CC9" w:rsidRPr="006C49EC">
              <w:t xml:space="preserve">, such as </w:t>
            </w:r>
            <w:r w:rsidRPr="006C49EC">
              <w:t>your carbon inventory</w:t>
            </w:r>
            <w:r w:rsidR="0007083B" w:rsidRPr="006C49EC">
              <w:t>,</w:t>
            </w:r>
            <w:r w:rsidRPr="006C49EC">
              <w:t xml:space="preserve"> to answer these questions so that guidelines can be developed to help you progress the initiatives that you want to integrate into your opera</w:t>
            </w:r>
            <w:r w:rsidR="002B47F1" w:rsidRPr="006C49EC">
              <w:t xml:space="preserve">ting and </w:t>
            </w:r>
            <w:r w:rsidR="008D092E" w:rsidRPr="006C49EC">
              <w:t xml:space="preserve">higher level </w:t>
            </w:r>
            <w:r w:rsidR="002B47F1" w:rsidRPr="006C49EC">
              <w:t>business plans.</w:t>
            </w:r>
          </w:p>
          <w:p w:rsidR="00324A44" w:rsidRPr="006C49EC" w:rsidRDefault="00324A44" w:rsidP="007341A4">
            <w:pPr>
              <w:pStyle w:val="ListParagraphBullet"/>
            </w:pPr>
            <w:r w:rsidRPr="006C49EC">
              <w:t>Operational improvement initiatives are likely to be able to be progressed quickly using existing systems. For capital or strategic projects</w:t>
            </w:r>
            <w:r w:rsidR="00EA74F9" w:rsidRPr="006C49EC">
              <w:t>,</w:t>
            </w:r>
            <w:r w:rsidRPr="006C49EC">
              <w:t xml:space="preserve"> develop </w:t>
            </w:r>
            <w:r w:rsidR="00EA74F9" w:rsidRPr="006C49EC">
              <w:t>p</w:t>
            </w:r>
            <w:r w:rsidRPr="006C49EC">
              <w:t xml:space="preserve">roject briefs and/or employ your business case template, ensuring that </w:t>
            </w:r>
            <w:r w:rsidR="002B47F1" w:rsidRPr="006C49EC">
              <w:t xml:space="preserve">you apply a </w:t>
            </w:r>
            <w:r w:rsidRPr="006C49EC">
              <w:t>whole-of-business approach that looks at all benefits and costs</w:t>
            </w:r>
            <w:r w:rsidR="002B47F1" w:rsidRPr="006C49EC">
              <w:t>.</w:t>
            </w:r>
          </w:p>
          <w:p w:rsidR="00324A44" w:rsidRPr="006C49EC" w:rsidRDefault="00324A44" w:rsidP="00C51E45">
            <w:pPr>
              <w:pStyle w:val="ListParagraphBullet"/>
            </w:pPr>
            <w:r w:rsidRPr="006C49EC">
              <w:t>Document all initiatives in a</w:t>
            </w:r>
            <w:r w:rsidR="00C51E45" w:rsidRPr="006C49EC">
              <w:t>n</w:t>
            </w:r>
            <w:r w:rsidRPr="006C49EC">
              <w:t xml:space="preserve"> </w:t>
            </w:r>
            <w:r w:rsidR="00C51E45" w:rsidRPr="006C49EC">
              <w:t>e</w:t>
            </w:r>
            <w:r w:rsidR="007F52DA" w:rsidRPr="006C49EC">
              <w:t>nergy plan</w:t>
            </w:r>
            <w:r w:rsidRPr="006C49EC">
              <w:t xml:space="preserve"> that should be considered</w:t>
            </w:r>
            <w:r w:rsidR="002B47F1" w:rsidRPr="006C49EC">
              <w:t>,</w:t>
            </w:r>
            <w:r w:rsidRPr="006C49EC">
              <w:t xml:space="preserve"> in whole or </w:t>
            </w:r>
            <w:r w:rsidR="0007083B" w:rsidRPr="006C49EC">
              <w:t>in sections</w:t>
            </w:r>
            <w:r w:rsidR="002B47F1" w:rsidRPr="006C49EC">
              <w:t>,</w:t>
            </w:r>
            <w:r w:rsidRPr="006C49EC">
              <w:t xml:space="preserve"> as part of your </w:t>
            </w:r>
            <w:r w:rsidR="002B47F1" w:rsidRPr="006C49EC">
              <w:t>normal business planning cycle</w:t>
            </w:r>
            <w:r w:rsidR="004A1261" w:rsidRPr="006C49EC">
              <w:t xml:space="preserve"> (see the </w:t>
            </w:r>
            <w:r w:rsidR="004A1261" w:rsidRPr="006C49EC">
              <w:rPr>
                <w:b/>
              </w:rPr>
              <w:t>Energy plan template</w:t>
            </w:r>
            <w:r w:rsidR="004A1261" w:rsidRPr="006C49EC">
              <w:t>)</w:t>
            </w:r>
            <w:r w:rsidR="002B47F1" w:rsidRPr="006C49EC">
              <w:t>.</w:t>
            </w:r>
          </w:p>
        </w:tc>
      </w:tr>
      <w:tr w:rsidR="00324A44" w:rsidRPr="006C49EC" w:rsidTr="00E96E7A">
        <w:trPr>
          <w:trHeight w:val="404"/>
        </w:trPr>
        <w:tc>
          <w:tcPr>
            <w:tcW w:w="3333" w:type="dxa"/>
            <w:shd w:val="clear" w:color="auto" w:fill="F3F3F3"/>
          </w:tcPr>
          <w:p w:rsidR="005F22E1" w:rsidRPr="006C49EC" w:rsidRDefault="00324A44" w:rsidP="005F22E1">
            <w:pPr>
              <w:pStyle w:val="TableText"/>
              <w:numPr>
                <w:ilvl w:val="0"/>
                <w:numId w:val="20"/>
              </w:numPr>
              <w:ind w:left="360"/>
              <w:rPr>
                <w:b/>
              </w:rPr>
            </w:pPr>
            <w:r w:rsidRPr="006C49EC">
              <w:rPr>
                <w:b/>
              </w:rPr>
              <w:t>Monitor and investigat</w:t>
            </w:r>
            <w:r w:rsidR="000C5211" w:rsidRPr="006C49EC">
              <w:rPr>
                <w:b/>
              </w:rPr>
              <w:t>e</w:t>
            </w:r>
            <w:r w:rsidRPr="006C49EC">
              <w:rPr>
                <w:b/>
              </w:rPr>
              <w:t xml:space="preserve"> performance against plans and communicat</w:t>
            </w:r>
            <w:r w:rsidR="007A2111" w:rsidRPr="006C49EC">
              <w:rPr>
                <w:b/>
              </w:rPr>
              <w:t>e</w:t>
            </w:r>
            <w:r w:rsidRPr="006C49EC">
              <w:rPr>
                <w:b/>
              </w:rPr>
              <w:t xml:space="preserve"> outcomes</w:t>
            </w:r>
            <w:r w:rsidR="00C51E45" w:rsidRPr="006C49EC">
              <w:rPr>
                <w:b/>
              </w:rPr>
              <w:t>.</w:t>
            </w:r>
          </w:p>
        </w:tc>
        <w:tc>
          <w:tcPr>
            <w:tcW w:w="10809" w:type="dxa"/>
            <w:shd w:val="clear" w:color="auto" w:fill="F3F3F3"/>
          </w:tcPr>
          <w:p w:rsidR="00324A44" w:rsidRPr="006C49EC" w:rsidRDefault="00324A44" w:rsidP="00A5162C">
            <w:pPr>
              <w:pStyle w:val="TableText"/>
            </w:pPr>
            <w:r w:rsidRPr="006C49EC">
              <w:t xml:space="preserve">To monitor and investigate performance against your </w:t>
            </w:r>
            <w:r w:rsidR="00C51E45" w:rsidRPr="006C49EC">
              <w:t>e</w:t>
            </w:r>
            <w:r w:rsidR="007F52DA" w:rsidRPr="006C49EC">
              <w:t>nergy plan</w:t>
            </w:r>
            <w:r w:rsidR="004A1261" w:rsidRPr="006C49EC">
              <w:t xml:space="preserve"> </w:t>
            </w:r>
            <w:r w:rsidRPr="006C49EC">
              <w:t>accountabi</w:t>
            </w:r>
            <w:r w:rsidR="00A50CC3" w:rsidRPr="006C49EC">
              <w:t>lities and performance measures/m</w:t>
            </w:r>
            <w:r w:rsidRPr="006C49EC">
              <w:t xml:space="preserve">etrics need to be identified. </w:t>
            </w:r>
            <w:r w:rsidR="00286303" w:rsidRPr="006C49EC">
              <w:t xml:space="preserve">Strategies developed should be validated after a reasonable timeframe, perhaps </w:t>
            </w:r>
            <w:r w:rsidR="00D03A3C" w:rsidRPr="006C49EC">
              <w:t>six</w:t>
            </w:r>
            <w:r w:rsidR="00A50CC3" w:rsidRPr="006C49EC">
              <w:t xml:space="preserve"> months</w:t>
            </w:r>
            <w:r w:rsidR="00286303" w:rsidRPr="006C49EC">
              <w:t xml:space="preserve">, and refined where appropriate. </w:t>
            </w:r>
          </w:p>
          <w:p w:rsidR="00324A44" w:rsidRPr="006C49EC" w:rsidRDefault="00324A44" w:rsidP="00A5162C">
            <w:pPr>
              <w:pStyle w:val="TableText"/>
            </w:pPr>
            <w:r w:rsidRPr="006C49EC">
              <w:t>A progress reporting schedule can be set up that uses existing m</w:t>
            </w:r>
            <w:r w:rsidR="00A50CC3" w:rsidRPr="006C49EC">
              <w:t>eetings/</w:t>
            </w:r>
            <w:r w:rsidR="0023694E" w:rsidRPr="006C49EC">
              <w:t>forums. For example, monthly o</w:t>
            </w:r>
            <w:r w:rsidRPr="006C49EC">
              <w:t>perations meeting</w:t>
            </w:r>
            <w:r w:rsidR="000C5211" w:rsidRPr="006C49EC">
              <w:t>s</w:t>
            </w:r>
            <w:r w:rsidRPr="006C49EC">
              <w:t xml:space="preserve">, </w:t>
            </w:r>
            <w:r w:rsidR="0023694E" w:rsidRPr="006C49EC">
              <w:t>s</w:t>
            </w:r>
            <w:r w:rsidR="002B47F1" w:rsidRPr="006C49EC">
              <w:t>ix</w:t>
            </w:r>
            <w:r w:rsidRPr="006C49EC">
              <w:t>-</w:t>
            </w:r>
            <w:r w:rsidR="002B47F1" w:rsidRPr="006C49EC">
              <w:t>m</w:t>
            </w:r>
            <w:r w:rsidR="0023694E" w:rsidRPr="006C49EC">
              <w:t>onthly management reviews, daily p</w:t>
            </w:r>
            <w:r w:rsidRPr="006C49EC">
              <w:t xml:space="preserve">roduction meetings, </w:t>
            </w:r>
            <w:r w:rsidR="00A50CC3" w:rsidRPr="006C49EC">
              <w:t>business improvement</w:t>
            </w:r>
            <w:r w:rsidRPr="006C49EC">
              <w:t xml:space="preserve"> meetings, or as appropriate. This schedule should be documented in your overall </w:t>
            </w:r>
            <w:r w:rsidR="00A50CC3" w:rsidRPr="006C49EC">
              <w:t>e</w:t>
            </w:r>
            <w:r w:rsidR="007F52DA" w:rsidRPr="006C49EC">
              <w:t>nergy plan</w:t>
            </w:r>
            <w:r w:rsidRPr="006C49EC">
              <w:t xml:space="preserve"> </w:t>
            </w:r>
          </w:p>
          <w:p w:rsidR="00324A44" w:rsidRPr="006C49EC" w:rsidRDefault="00324A44" w:rsidP="00A50CC3">
            <w:pPr>
              <w:pStyle w:val="TableText"/>
            </w:pPr>
            <w:r w:rsidRPr="006C49EC">
              <w:t>Communicate outcomes to relevant stakeholders. Stakeholders and the means of communication may vary depending on the action being progressed. For example</w:t>
            </w:r>
            <w:r w:rsidR="00A50CC3" w:rsidRPr="006C49EC">
              <w:t>,</w:t>
            </w:r>
            <w:r w:rsidRPr="006C49EC">
              <w:t xml:space="preserve"> resource indicators against target might be inclu</w:t>
            </w:r>
            <w:r w:rsidR="00A50CC3" w:rsidRPr="006C49EC">
              <w:t xml:space="preserve">ded in monthly </w:t>
            </w:r>
            <w:r w:rsidR="0023694E" w:rsidRPr="006C49EC">
              <w:t>SLT</w:t>
            </w:r>
            <w:r w:rsidRPr="006C49EC">
              <w:t xml:space="preserve"> reporting, whereas annual carbon emissions may be reported publicly</w:t>
            </w:r>
            <w:r w:rsidR="009D53DE" w:rsidRPr="006C49EC">
              <w:t xml:space="preserve"> or to key stakeholders</w:t>
            </w:r>
            <w:r w:rsidRPr="006C49EC">
              <w:t xml:space="preserve">. Company or site newsletters or informal channels may be best suited to communicating </w:t>
            </w:r>
            <w:r w:rsidR="000C5211" w:rsidRPr="006C49EC">
              <w:t xml:space="preserve">the </w:t>
            </w:r>
            <w:r w:rsidR="00A50CC3" w:rsidRPr="006C49EC">
              <w:t>success of key initiatives</w:t>
            </w:r>
            <w:r w:rsidRPr="006C49EC">
              <w:t xml:space="preserve"> to acknowledge effort and encourage staff participation. </w:t>
            </w:r>
          </w:p>
        </w:tc>
      </w:tr>
    </w:tbl>
    <w:p w:rsidR="00324A44" w:rsidRPr="006C49EC" w:rsidRDefault="00324A44" w:rsidP="00EF37DF">
      <w:pPr>
        <w:pStyle w:val="Heading2"/>
        <w:spacing w:after="240"/>
      </w:pPr>
      <w:r w:rsidRPr="006C49EC">
        <w:rPr>
          <w:rFonts w:ascii="Arial" w:hAnsi="Arial" w:cs="Arial"/>
          <w:sz w:val="32"/>
          <w:szCs w:val="32"/>
        </w:rPr>
        <w:br w:type="page"/>
      </w:r>
      <w:bookmarkStart w:id="13" w:name="_Toc275951204"/>
      <w:bookmarkStart w:id="14" w:name="_Toc359317042"/>
      <w:r w:rsidRPr="006C49EC">
        <w:lastRenderedPageBreak/>
        <w:t>Supporting tools and templates related to the practice steps</w:t>
      </w:r>
      <w:bookmarkEnd w:id="13"/>
      <w:bookmarkEnd w:id="14"/>
    </w:p>
    <w:p w:rsidR="00A756E2" w:rsidRPr="006C49EC" w:rsidRDefault="00A756E2" w:rsidP="00A756E2">
      <w:pPr>
        <w:pStyle w:val="Paragraph"/>
      </w:pPr>
      <w:r w:rsidRPr="006C49EC">
        <w:t xml:space="preserve">The </w:t>
      </w:r>
      <w:r w:rsidR="00A50CC3" w:rsidRPr="006C49EC">
        <w:t>EEM</w:t>
      </w:r>
      <w:r w:rsidRPr="006C49EC">
        <w:t xml:space="preserve"> tools are available from </w:t>
      </w:r>
      <w:hyperlink r:id="rId20" w:history="1">
        <w:r w:rsidRPr="006C49EC">
          <w:rPr>
            <w:rStyle w:val="Hyperlink"/>
          </w:rPr>
          <w:t>www.sustainabilityskills.net.au</w:t>
        </w:r>
      </w:hyperlink>
    </w:p>
    <w:p w:rsidR="00A756E2" w:rsidRPr="006C49EC" w:rsidRDefault="00A756E2" w:rsidP="00A756E2"/>
    <w:tbl>
      <w:tblPr>
        <w:tblW w:w="14174"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2518"/>
        <w:gridCol w:w="11656"/>
      </w:tblGrid>
      <w:tr w:rsidR="008F34A6" w:rsidRPr="006C49EC" w:rsidTr="00F2667D">
        <w:trPr>
          <w:cantSplit/>
          <w:trHeight w:val="382"/>
          <w:tblHeader/>
        </w:trPr>
        <w:tc>
          <w:tcPr>
            <w:tcW w:w="2518" w:type="dxa"/>
            <w:shd w:val="clear" w:color="auto" w:fill="5D0F68"/>
          </w:tcPr>
          <w:p w:rsidR="008F34A6" w:rsidRPr="006C49EC" w:rsidRDefault="008F34A6" w:rsidP="00EF37DF">
            <w:pPr>
              <w:pStyle w:val="TableHeading"/>
            </w:pPr>
            <w:r w:rsidRPr="006C49EC">
              <w:t>Tool or template</w:t>
            </w:r>
          </w:p>
        </w:tc>
        <w:tc>
          <w:tcPr>
            <w:tcW w:w="11656" w:type="dxa"/>
            <w:shd w:val="clear" w:color="auto" w:fill="5D0F68"/>
          </w:tcPr>
          <w:p w:rsidR="008F34A6" w:rsidRPr="006C49EC" w:rsidRDefault="008F34A6" w:rsidP="00EF37DF">
            <w:pPr>
              <w:pStyle w:val="TableHeading"/>
              <w:rPr>
                <w:b w:val="0"/>
              </w:rPr>
            </w:pPr>
            <w:r w:rsidRPr="006C49EC">
              <w:rPr>
                <w:b w:val="0"/>
              </w:rPr>
              <w:t>This tool is useful if…</w:t>
            </w:r>
          </w:p>
        </w:tc>
      </w:tr>
      <w:tr w:rsidR="008F34A6" w:rsidRPr="006C49EC" w:rsidTr="00F2667D">
        <w:trPr>
          <w:trHeight w:val="298"/>
        </w:trPr>
        <w:tc>
          <w:tcPr>
            <w:tcW w:w="2518" w:type="dxa"/>
            <w:shd w:val="clear" w:color="auto" w:fill="F3F3F3"/>
          </w:tcPr>
          <w:p w:rsidR="008F34A6" w:rsidRPr="006C49EC" w:rsidRDefault="008F34A6" w:rsidP="004F79D8">
            <w:pPr>
              <w:pStyle w:val="TableHeading"/>
              <w:rPr>
                <w:color w:val="auto"/>
              </w:rPr>
            </w:pPr>
            <w:r w:rsidRPr="006C49EC">
              <w:rPr>
                <w:color w:val="auto"/>
              </w:rPr>
              <w:t>Energy baseline tool</w:t>
            </w:r>
          </w:p>
        </w:tc>
        <w:tc>
          <w:tcPr>
            <w:tcW w:w="11656" w:type="dxa"/>
            <w:shd w:val="clear" w:color="auto" w:fill="F3F3F3"/>
          </w:tcPr>
          <w:p w:rsidR="008F34A6" w:rsidRPr="006C49EC" w:rsidRDefault="008F34A6" w:rsidP="004F79D8">
            <w:pPr>
              <w:pStyle w:val="TableHeading"/>
              <w:rPr>
                <w:b w:val="0"/>
                <w:color w:val="auto"/>
              </w:rPr>
            </w:pPr>
            <w:r w:rsidRPr="006C49EC">
              <w:rPr>
                <w:b w:val="0"/>
                <w:color w:val="auto"/>
              </w:rPr>
              <w:t>You are starting out on a process to integrate better management of carbon</w:t>
            </w:r>
            <w:r w:rsidR="00F2667D" w:rsidRPr="006C49EC">
              <w:rPr>
                <w:b w:val="0"/>
                <w:color w:val="auto"/>
              </w:rPr>
              <w:t xml:space="preserve"> and </w:t>
            </w:r>
            <w:r w:rsidRPr="006C49EC">
              <w:rPr>
                <w:b w:val="0"/>
                <w:color w:val="auto"/>
              </w:rPr>
              <w:t xml:space="preserve">energy </w:t>
            </w:r>
            <w:r w:rsidR="00F2667D" w:rsidRPr="006C49EC">
              <w:rPr>
                <w:b w:val="0"/>
                <w:strike/>
                <w:color w:val="auto"/>
              </w:rPr>
              <w:t>(</w:t>
            </w:r>
            <w:r w:rsidRPr="006C49EC">
              <w:rPr>
                <w:b w:val="0"/>
                <w:strike/>
                <w:color w:val="auto"/>
              </w:rPr>
              <w:t>and water</w:t>
            </w:r>
            <w:r w:rsidR="00F2667D" w:rsidRPr="006C49EC">
              <w:rPr>
                <w:b w:val="0"/>
                <w:strike/>
                <w:color w:val="auto"/>
              </w:rPr>
              <w:t>)</w:t>
            </w:r>
            <w:r w:rsidR="00A50CC3" w:rsidRPr="006C49EC">
              <w:rPr>
                <w:b w:val="0"/>
                <w:color w:val="auto"/>
              </w:rPr>
              <w:t xml:space="preserve"> into your business planning</w:t>
            </w:r>
            <w:r w:rsidRPr="006C49EC">
              <w:rPr>
                <w:b w:val="0"/>
                <w:color w:val="auto"/>
              </w:rPr>
              <w:t xml:space="preserve"> and you want to understand how these issues currently impact your business. </w:t>
            </w:r>
          </w:p>
          <w:p w:rsidR="008F34A6" w:rsidRPr="006C49EC" w:rsidRDefault="008F34A6" w:rsidP="00A50CC3">
            <w:pPr>
              <w:pStyle w:val="TableHeading"/>
              <w:rPr>
                <w:b w:val="0"/>
                <w:color w:val="auto"/>
              </w:rPr>
            </w:pPr>
            <w:r w:rsidRPr="006C49EC">
              <w:rPr>
                <w:b w:val="0"/>
                <w:color w:val="auto"/>
              </w:rPr>
              <w:t xml:space="preserve">This tool can be used for modules </w:t>
            </w:r>
            <w:r w:rsidR="00A50CC3" w:rsidRPr="006C49EC">
              <w:rPr>
                <w:b w:val="0"/>
                <w:color w:val="auto"/>
              </w:rPr>
              <w:t>1</w:t>
            </w:r>
            <w:r w:rsidRPr="006C49EC">
              <w:rPr>
                <w:b w:val="0"/>
                <w:color w:val="auto"/>
              </w:rPr>
              <w:t xml:space="preserve"> to </w:t>
            </w:r>
            <w:r w:rsidR="00A50CC3" w:rsidRPr="006C49EC">
              <w:rPr>
                <w:b w:val="0"/>
                <w:color w:val="auto"/>
              </w:rPr>
              <w:t>4</w:t>
            </w:r>
            <w:r w:rsidRPr="006C49EC">
              <w:rPr>
                <w:b w:val="0"/>
                <w:color w:val="auto"/>
              </w:rPr>
              <w:t>.</w:t>
            </w:r>
          </w:p>
        </w:tc>
      </w:tr>
      <w:tr w:rsidR="008F34A6" w:rsidRPr="006C49EC" w:rsidTr="00F2667D">
        <w:trPr>
          <w:trHeight w:val="298"/>
        </w:trPr>
        <w:tc>
          <w:tcPr>
            <w:tcW w:w="2518" w:type="dxa"/>
            <w:shd w:val="clear" w:color="auto" w:fill="F3F3F3"/>
          </w:tcPr>
          <w:p w:rsidR="008F34A6" w:rsidRPr="006C49EC" w:rsidRDefault="008F34A6" w:rsidP="004F79D8">
            <w:pPr>
              <w:pStyle w:val="TableHeading"/>
              <w:rPr>
                <w:color w:val="auto"/>
              </w:rPr>
            </w:pPr>
            <w:r w:rsidRPr="006C49EC">
              <w:rPr>
                <w:color w:val="auto"/>
              </w:rPr>
              <w:t>Global trends presentation</w:t>
            </w:r>
          </w:p>
        </w:tc>
        <w:tc>
          <w:tcPr>
            <w:tcW w:w="11656" w:type="dxa"/>
            <w:shd w:val="clear" w:color="auto" w:fill="F3F3F3"/>
          </w:tcPr>
          <w:p w:rsidR="008F34A6" w:rsidRPr="006C49EC" w:rsidRDefault="008F34A6" w:rsidP="004F79D8">
            <w:pPr>
              <w:pStyle w:val="TableHeading"/>
              <w:rPr>
                <w:b w:val="0"/>
                <w:color w:val="auto"/>
              </w:rPr>
            </w:pPr>
            <w:r w:rsidRPr="006C49EC">
              <w:rPr>
                <w:b w:val="0"/>
                <w:color w:val="auto"/>
              </w:rPr>
              <w:t>You are engaging wit</w:t>
            </w:r>
            <w:r w:rsidR="00A50CC3" w:rsidRPr="006C49EC">
              <w:rPr>
                <w:b w:val="0"/>
                <w:color w:val="auto"/>
              </w:rPr>
              <w:t>h senior management at a site/</w:t>
            </w:r>
            <w:r w:rsidRPr="006C49EC">
              <w:rPr>
                <w:b w:val="0"/>
                <w:color w:val="auto"/>
              </w:rPr>
              <w:t>company level to consider the global trends in energy, carbon and re</w:t>
            </w:r>
            <w:r w:rsidR="00A50CC3" w:rsidRPr="006C49EC">
              <w:rPr>
                <w:b w:val="0"/>
                <w:color w:val="auto"/>
              </w:rPr>
              <w:t>sources impacting your business</w:t>
            </w:r>
            <w:r w:rsidRPr="006C49EC">
              <w:rPr>
                <w:b w:val="0"/>
                <w:color w:val="auto"/>
              </w:rPr>
              <w:t xml:space="preserve"> so that you can prioritise and build them in to your business planning. </w:t>
            </w:r>
          </w:p>
          <w:p w:rsidR="008F34A6" w:rsidRPr="006C49EC" w:rsidRDefault="008F34A6" w:rsidP="004F79D8">
            <w:pPr>
              <w:pStyle w:val="TableHeading"/>
              <w:rPr>
                <w:b w:val="0"/>
                <w:color w:val="auto"/>
              </w:rPr>
            </w:pPr>
            <w:r w:rsidRPr="006C49EC">
              <w:rPr>
                <w:b w:val="0"/>
                <w:color w:val="auto"/>
              </w:rPr>
              <w:t>A key aspect of this session is identification and understanding of global trends that are most relevant to the foundries industry and your business, including global and regional trends, policy and legislation, water management, and brand and reputation issues.</w:t>
            </w:r>
          </w:p>
          <w:p w:rsidR="008F34A6" w:rsidRPr="006C49EC" w:rsidRDefault="008F34A6" w:rsidP="004F79D8">
            <w:pPr>
              <w:pStyle w:val="TableHeading"/>
              <w:rPr>
                <w:b w:val="0"/>
                <w:color w:val="auto"/>
              </w:rPr>
            </w:pPr>
            <w:r w:rsidRPr="006C49EC">
              <w:rPr>
                <w:b w:val="0"/>
                <w:color w:val="auto"/>
              </w:rPr>
              <w:t>A key outcome of this presentation is the support of management for the progression of your priority sustainability issues.</w:t>
            </w:r>
          </w:p>
        </w:tc>
      </w:tr>
      <w:tr w:rsidR="008F34A6" w:rsidRPr="006C49EC" w:rsidTr="00F2667D">
        <w:trPr>
          <w:trHeight w:val="698"/>
        </w:trPr>
        <w:tc>
          <w:tcPr>
            <w:tcW w:w="2518" w:type="dxa"/>
            <w:shd w:val="clear" w:color="auto" w:fill="F3F3F3"/>
          </w:tcPr>
          <w:p w:rsidR="008F34A6" w:rsidRPr="006C49EC" w:rsidRDefault="008F34A6" w:rsidP="008F34A6">
            <w:pPr>
              <w:pStyle w:val="TableHeading"/>
              <w:rPr>
                <w:color w:val="auto"/>
              </w:rPr>
            </w:pPr>
            <w:r w:rsidRPr="006C49EC">
              <w:rPr>
                <w:color w:val="auto"/>
              </w:rPr>
              <w:t>Energy and business planning facilitator runsheet</w:t>
            </w:r>
          </w:p>
          <w:p w:rsidR="008F34A6" w:rsidRPr="006C49EC" w:rsidRDefault="008F34A6" w:rsidP="008F34A6">
            <w:pPr>
              <w:pStyle w:val="TableHeading"/>
              <w:rPr>
                <w:color w:val="auto"/>
              </w:rPr>
            </w:pPr>
            <w:r w:rsidRPr="006C49EC">
              <w:rPr>
                <w:color w:val="auto"/>
              </w:rPr>
              <w:t>Global trends presentation</w:t>
            </w:r>
          </w:p>
          <w:p w:rsidR="008F34A6" w:rsidRPr="006C49EC" w:rsidRDefault="008F34A6" w:rsidP="008F34A6">
            <w:pPr>
              <w:pStyle w:val="TableHeading"/>
              <w:rPr>
                <w:color w:val="auto"/>
              </w:rPr>
            </w:pPr>
            <w:r w:rsidRPr="006C49EC">
              <w:rPr>
                <w:color w:val="auto"/>
              </w:rPr>
              <w:t>Sample energy plans</w:t>
            </w:r>
          </w:p>
        </w:tc>
        <w:tc>
          <w:tcPr>
            <w:tcW w:w="11656" w:type="dxa"/>
            <w:shd w:val="clear" w:color="auto" w:fill="F3F3F3"/>
          </w:tcPr>
          <w:p w:rsidR="008F34A6" w:rsidRPr="006C49EC" w:rsidRDefault="008F34A6" w:rsidP="004F79D8">
            <w:pPr>
              <w:pStyle w:val="TableHeading"/>
              <w:rPr>
                <w:b w:val="0"/>
                <w:color w:val="auto"/>
              </w:rPr>
            </w:pPr>
            <w:r w:rsidRPr="006C49EC">
              <w:rPr>
                <w:b w:val="0"/>
                <w:color w:val="auto"/>
              </w:rPr>
              <w:t>You require a structured, facilitated process to present the global</w:t>
            </w:r>
            <w:r w:rsidR="00A50CC3" w:rsidRPr="006C49EC">
              <w:rPr>
                <w:b w:val="0"/>
                <w:color w:val="auto"/>
              </w:rPr>
              <w:t xml:space="preserve"> trends impacting your business</w:t>
            </w:r>
            <w:r w:rsidRPr="006C49EC">
              <w:rPr>
                <w:b w:val="0"/>
                <w:color w:val="auto"/>
              </w:rPr>
              <w:t xml:space="preserve"> to prioritise the risks and opportunities for your business arising from these trends, and to start planning for the implementation of these business priorities.</w:t>
            </w:r>
          </w:p>
          <w:p w:rsidR="008F34A6" w:rsidRPr="006C49EC" w:rsidRDefault="008F34A6" w:rsidP="004F79D8">
            <w:pPr>
              <w:pStyle w:val="TableHeading"/>
              <w:rPr>
                <w:b w:val="0"/>
                <w:color w:val="auto"/>
              </w:rPr>
            </w:pPr>
            <w:r w:rsidRPr="006C49EC">
              <w:rPr>
                <w:b w:val="0"/>
                <w:color w:val="auto"/>
              </w:rPr>
              <w:t>Key outcomes of this workshop include:</w:t>
            </w:r>
          </w:p>
          <w:p w:rsidR="008F34A6" w:rsidRPr="006C49EC" w:rsidRDefault="00A50CC3" w:rsidP="004F79D8">
            <w:pPr>
              <w:pStyle w:val="ListParagraphBullet"/>
            </w:pPr>
            <w:r w:rsidRPr="006C49EC">
              <w:t>i</w:t>
            </w:r>
            <w:r w:rsidR="008F34A6" w:rsidRPr="006C49EC">
              <w:t>dentifying the overarching global trends for the foun</w:t>
            </w:r>
            <w:r w:rsidRPr="006C49EC">
              <w:t>dries and fabricator industries</w:t>
            </w:r>
          </w:p>
          <w:p w:rsidR="008F34A6" w:rsidRPr="006C49EC" w:rsidRDefault="00A50CC3" w:rsidP="004F79D8">
            <w:pPr>
              <w:pStyle w:val="ListParagraphBullet"/>
            </w:pPr>
            <w:r w:rsidRPr="006C49EC">
              <w:t>understanding the trends that are important to your business</w:t>
            </w:r>
          </w:p>
          <w:p w:rsidR="008F34A6" w:rsidRPr="006C49EC" w:rsidRDefault="00A50CC3" w:rsidP="004F79D8">
            <w:pPr>
              <w:pStyle w:val="ListParagraphBullet"/>
            </w:pPr>
            <w:r w:rsidRPr="006C49EC">
              <w:t>c</w:t>
            </w:r>
            <w:r w:rsidR="008F34A6" w:rsidRPr="006C49EC">
              <w:t>onsidering how well your business cu</w:t>
            </w:r>
            <w:r w:rsidRPr="006C49EC">
              <w:t>rrently responds to these trends</w:t>
            </w:r>
          </w:p>
          <w:p w:rsidR="008F34A6" w:rsidRPr="006C49EC" w:rsidRDefault="00A50CC3" w:rsidP="004F79D8">
            <w:pPr>
              <w:pStyle w:val="ListParagraphBullet"/>
            </w:pPr>
            <w:r w:rsidRPr="006C49EC">
              <w:t>s</w:t>
            </w:r>
            <w:r w:rsidR="008F34A6" w:rsidRPr="006C49EC">
              <w:t xml:space="preserve">trategic priorities and next steps to develop </w:t>
            </w:r>
            <w:r w:rsidR="008F34A6" w:rsidRPr="006C49EC">
              <w:rPr>
                <w:rStyle w:val="ParagraphChar"/>
              </w:rPr>
              <w:t>your energy plan.</w:t>
            </w:r>
          </w:p>
        </w:tc>
      </w:tr>
      <w:tr w:rsidR="008F34A6" w:rsidRPr="006C49EC" w:rsidTr="00F2667D">
        <w:trPr>
          <w:cantSplit/>
        </w:trPr>
        <w:tc>
          <w:tcPr>
            <w:tcW w:w="2518" w:type="dxa"/>
            <w:shd w:val="clear" w:color="auto" w:fill="F3F3F3"/>
          </w:tcPr>
          <w:p w:rsidR="008F34A6" w:rsidRPr="006C49EC" w:rsidRDefault="008F34A6" w:rsidP="008F34A6">
            <w:pPr>
              <w:pStyle w:val="TableHeading"/>
              <w:rPr>
                <w:color w:val="auto"/>
              </w:rPr>
            </w:pPr>
            <w:r w:rsidRPr="006C49EC">
              <w:rPr>
                <w:color w:val="auto"/>
              </w:rPr>
              <w:t>Energy plan template</w:t>
            </w:r>
          </w:p>
          <w:p w:rsidR="008F34A6" w:rsidRPr="006C49EC" w:rsidRDefault="008F34A6" w:rsidP="008F34A6">
            <w:pPr>
              <w:pStyle w:val="TableHeading"/>
              <w:rPr>
                <w:color w:val="auto"/>
              </w:rPr>
            </w:pPr>
            <w:r w:rsidRPr="006C49EC">
              <w:rPr>
                <w:color w:val="auto"/>
              </w:rPr>
              <w:t>Sample energy plans</w:t>
            </w:r>
          </w:p>
        </w:tc>
        <w:tc>
          <w:tcPr>
            <w:tcW w:w="11656" w:type="dxa"/>
            <w:shd w:val="clear" w:color="auto" w:fill="F3F3F3"/>
          </w:tcPr>
          <w:p w:rsidR="008F34A6" w:rsidRPr="006C49EC" w:rsidRDefault="008F34A6" w:rsidP="004F79D8">
            <w:pPr>
              <w:pStyle w:val="TableHeading"/>
              <w:rPr>
                <w:b w:val="0"/>
                <w:color w:val="auto"/>
              </w:rPr>
            </w:pPr>
            <w:r w:rsidRPr="006C49EC">
              <w:rPr>
                <w:b w:val="0"/>
                <w:color w:val="auto"/>
              </w:rPr>
              <w:t>You want to start creating an energy plan for your business in response to the strategic priorities you have identified from the global trends analysis as a starting point, and where appropriate</w:t>
            </w:r>
            <w:r w:rsidR="00A50CC3" w:rsidRPr="006C49EC">
              <w:rPr>
                <w:b w:val="0"/>
                <w:color w:val="auto"/>
              </w:rPr>
              <w:t>,</w:t>
            </w:r>
            <w:r w:rsidRPr="006C49EC">
              <w:rPr>
                <w:b w:val="0"/>
                <w:color w:val="auto"/>
              </w:rPr>
              <w:t xml:space="preserve"> begin to engage with your suppliers and (retail) customers.</w:t>
            </w:r>
          </w:p>
        </w:tc>
      </w:tr>
      <w:tr w:rsidR="008F34A6" w:rsidRPr="006C49EC" w:rsidTr="00F2667D">
        <w:trPr>
          <w:cantSplit/>
        </w:trPr>
        <w:tc>
          <w:tcPr>
            <w:tcW w:w="2518" w:type="dxa"/>
            <w:shd w:val="clear" w:color="auto" w:fill="F3F3F3"/>
          </w:tcPr>
          <w:p w:rsidR="008F34A6" w:rsidRPr="006C49EC" w:rsidRDefault="008F34A6" w:rsidP="00FE5065">
            <w:pPr>
              <w:pStyle w:val="TableHeading"/>
              <w:rPr>
                <w:color w:val="auto"/>
              </w:rPr>
            </w:pPr>
            <w:r w:rsidRPr="006C49EC">
              <w:rPr>
                <w:color w:val="auto"/>
              </w:rPr>
              <w:lastRenderedPageBreak/>
              <w:t xml:space="preserve">Global trends presentation </w:t>
            </w:r>
            <w:r w:rsidR="00FE5065" w:rsidRPr="006C49EC">
              <w:rPr>
                <w:color w:val="auto"/>
              </w:rPr>
              <w:t>–</w:t>
            </w:r>
            <w:r w:rsidRPr="006C49EC">
              <w:rPr>
                <w:color w:val="auto"/>
              </w:rPr>
              <w:t xml:space="preserve"> </w:t>
            </w:r>
            <w:r w:rsidR="00FE5065" w:rsidRPr="006C49EC">
              <w:rPr>
                <w:color w:val="auto"/>
              </w:rPr>
              <w:t>Toolbox t</w:t>
            </w:r>
            <w:r w:rsidRPr="006C49EC">
              <w:rPr>
                <w:color w:val="auto"/>
              </w:rPr>
              <w:t>alk</w:t>
            </w:r>
          </w:p>
        </w:tc>
        <w:tc>
          <w:tcPr>
            <w:tcW w:w="11656" w:type="dxa"/>
            <w:shd w:val="clear" w:color="auto" w:fill="F3F3F3"/>
          </w:tcPr>
          <w:p w:rsidR="008F34A6" w:rsidRPr="006C49EC" w:rsidRDefault="008F34A6" w:rsidP="004F79D8">
            <w:pPr>
              <w:pStyle w:val="TableHeading"/>
              <w:rPr>
                <w:b w:val="0"/>
                <w:color w:val="auto"/>
              </w:rPr>
            </w:pPr>
            <w:r w:rsidRPr="006C49EC">
              <w:rPr>
                <w:b w:val="0"/>
                <w:color w:val="auto"/>
              </w:rPr>
              <w:t>You want to explain to site personnel which key global trends are relevant to the foundries and fabricators industry in general and your business in particular.</w:t>
            </w:r>
          </w:p>
          <w:p w:rsidR="008F34A6" w:rsidRPr="006C49EC" w:rsidRDefault="008F34A6" w:rsidP="00A50CC3">
            <w:pPr>
              <w:pStyle w:val="TableHeading"/>
              <w:rPr>
                <w:b w:val="0"/>
                <w:color w:val="auto"/>
              </w:rPr>
            </w:pPr>
            <w:r w:rsidRPr="006C49EC">
              <w:rPr>
                <w:b w:val="0"/>
                <w:color w:val="auto"/>
              </w:rPr>
              <w:t xml:space="preserve">A key outcome of this talk is the support of site personnel for the overarching </w:t>
            </w:r>
            <w:r w:rsidR="00A50CC3" w:rsidRPr="006C49EC">
              <w:rPr>
                <w:b w:val="0"/>
                <w:color w:val="auto"/>
              </w:rPr>
              <w:t>EEM</w:t>
            </w:r>
            <w:r w:rsidRPr="006C49EC">
              <w:rPr>
                <w:b w:val="0"/>
                <w:color w:val="auto"/>
              </w:rPr>
              <w:t xml:space="preserve"> strategy and an understanding of their role in the implementation of the plan.</w:t>
            </w:r>
          </w:p>
        </w:tc>
      </w:tr>
    </w:tbl>
    <w:p w:rsidR="00DD229B" w:rsidRPr="006C49EC" w:rsidRDefault="00DD229B">
      <w:pPr>
        <w:pStyle w:val="Paragraph"/>
      </w:pPr>
      <w:bookmarkStart w:id="15" w:name="_Toc275951205"/>
    </w:p>
    <w:p w:rsidR="00324A44" w:rsidRPr="006C49EC" w:rsidRDefault="00324A44" w:rsidP="00EF37DF">
      <w:pPr>
        <w:pStyle w:val="Heading2"/>
      </w:pPr>
      <w:bookmarkStart w:id="16" w:name="_Toc359317043"/>
      <w:r w:rsidRPr="006C49EC">
        <w:t>Ad</w:t>
      </w:r>
      <w:r w:rsidR="00A50CC3" w:rsidRPr="006C49EC">
        <w:t>ditional websites for reference</w:t>
      </w:r>
      <w:r w:rsidRPr="006C49EC">
        <w:t>/general knowledge</w:t>
      </w:r>
      <w:bookmarkEnd w:id="15"/>
      <w:bookmarkEnd w:id="16"/>
      <w:r w:rsidRPr="006C49EC">
        <w:t xml:space="preserve"> </w:t>
      </w:r>
    </w:p>
    <w:p w:rsidR="00324A44" w:rsidRPr="006C49EC" w:rsidRDefault="00324A44" w:rsidP="00EF37DF">
      <w:pPr>
        <w:pStyle w:val="Paragraph"/>
        <w:spacing w:after="240"/>
      </w:pPr>
      <w:r w:rsidRPr="006C49EC">
        <w:t>The following websites are recommended for background knowledge and further reference.</w:t>
      </w:r>
    </w:p>
    <w:tbl>
      <w:tblPr>
        <w:tblW w:w="14257"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5229"/>
        <w:gridCol w:w="9028"/>
      </w:tblGrid>
      <w:tr w:rsidR="00324A44" w:rsidRPr="006C49EC" w:rsidTr="00EF37DF">
        <w:trPr>
          <w:cantSplit/>
          <w:trHeight w:val="382"/>
          <w:tblHeader/>
        </w:trPr>
        <w:tc>
          <w:tcPr>
            <w:tcW w:w="5229" w:type="dxa"/>
            <w:shd w:val="clear" w:color="auto" w:fill="5D0F68"/>
          </w:tcPr>
          <w:p w:rsidR="00324A44" w:rsidRPr="006C49EC" w:rsidRDefault="00324A44" w:rsidP="00EF37DF">
            <w:pPr>
              <w:pStyle w:val="TableHeading"/>
            </w:pPr>
            <w:r w:rsidRPr="006C49EC">
              <w:t>Website link</w:t>
            </w:r>
          </w:p>
        </w:tc>
        <w:tc>
          <w:tcPr>
            <w:tcW w:w="9028" w:type="dxa"/>
            <w:shd w:val="clear" w:color="auto" w:fill="5D0F68"/>
          </w:tcPr>
          <w:p w:rsidR="00324A44" w:rsidRPr="006C49EC" w:rsidRDefault="00324A44" w:rsidP="00EF37DF">
            <w:pPr>
              <w:pStyle w:val="TableHeading"/>
            </w:pPr>
            <w:r w:rsidRPr="006C49EC">
              <w:t>This website is useful because…</w:t>
            </w:r>
          </w:p>
        </w:tc>
      </w:tr>
      <w:tr w:rsidR="00324A44" w:rsidRPr="006C49EC" w:rsidTr="00E96E7A">
        <w:trPr>
          <w:trHeight w:val="298"/>
        </w:trPr>
        <w:tc>
          <w:tcPr>
            <w:tcW w:w="5229" w:type="dxa"/>
            <w:shd w:val="clear" w:color="auto" w:fill="F3F3F3"/>
          </w:tcPr>
          <w:p w:rsidR="00324A44" w:rsidRPr="006C49EC" w:rsidRDefault="00466205" w:rsidP="00EF37DF">
            <w:pPr>
              <w:pStyle w:val="Paragraph"/>
              <w:rPr>
                <w:b/>
              </w:rPr>
            </w:pPr>
            <w:r w:rsidRPr="006C49EC">
              <w:rPr>
                <w:b/>
              </w:rPr>
              <w:t>Manufacturing Skills Australia</w:t>
            </w:r>
            <w:r w:rsidR="00A50CC3" w:rsidRPr="006C49EC">
              <w:rPr>
                <w:b/>
              </w:rPr>
              <w:t xml:space="preserve"> (MSA)</w:t>
            </w:r>
          </w:p>
          <w:p w:rsidR="00703038" w:rsidRPr="006C49EC" w:rsidRDefault="009D4119" w:rsidP="00EF37DF">
            <w:pPr>
              <w:pStyle w:val="Paragraph"/>
              <w:rPr>
                <w:b/>
              </w:rPr>
            </w:pPr>
            <w:hyperlink r:id="rId21" w:history="1">
              <w:r w:rsidR="00466205" w:rsidRPr="006C49EC">
                <w:rPr>
                  <w:rStyle w:val="Hyperlink"/>
                </w:rPr>
                <w:t>http://www.mskills.com.au/</w:t>
              </w:r>
            </w:hyperlink>
            <w:r w:rsidR="00466205" w:rsidRPr="006C49EC">
              <w:t xml:space="preserve"> </w:t>
            </w:r>
          </w:p>
        </w:tc>
        <w:tc>
          <w:tcPr>
            <w:tcW w:w="9028" w:type="dxa"/>
            <w:shd w:val="clear" w:color="auto" w:fill="F3F3F3"/>
          </w:tcPr>
          <w:p w:rsidR="00324A44" w:rsidRPr="006C49EC" w:rsidRDefault="00703038" w:rsidP="00A50CC3">
            <w:pPr>
              <w:pStyle w:val="Paragraph"/>
            </w:pPr>
            <w:r w:rsidRPr="006C49EC">
              <w:t xml:space="preserve">It contains links </w:t>
            </w:r>
            <w:r w:rsidR="00324A44" w:rsidRPr="006C49EC">
              <w:t xml:space="preserve">to key </w:t>
            </w:r>
            <w:r w:rsidR="00A50CC3" w:rsidRPr="006C49EC">
              <w:t>MSA</w:t>
            </w:r>
            <w:r w:rsidRPr="006C49EC">
              <w:t xml:space="preserve"> </w:t>
            </w:r>
            <w:r w:rsidR="00324A44" w:rsidRPr="006C49EC">
              <w:t xml:space="preserve">material relating to </w:t>
            </w:r>
            <w:r w:rsidRPr="006C49EC">
              <w:t>g</w:t>
            </w:r>
            <w:r w:rsidR="00324A44" w:rsidRPr="006C49EC">
              <w:t>lobal trends</w:t>
            </w:r>
            <w:r w:rsidR="00286303" w:rsidRPr="006C49EC">
              <w:t xml:space="preserve"> as well as vocational </w:t>
            </w:r>
            <w:r w:rsidR="00A50CC3" w:rsidRPr="006C49EC">
              <w:t>T</w:t>
            </w:r>
            <w:r w:rsidR="00286303" w:rsidRPr="006C49EC">
              <w:t xml:space="preserve">raining </w:t>
            </w:r>
            <w:r w:rsidR="00A50CC3" w:rsidRPr="006C49EC">
              <w:t>P</w:t>
            </w:r>
            <w:r w:rsidR="00286303" w:rsidRPr="006C49EC">
              <w:t>ackages that support your strategic response</w:t>
            </w:r>
            <w:r w:rsidR="008F34A6" w:rsidRPr="006C49EC">
              <w:t xml:space="preserve"> a</w:t>
            </w:r>
            <w:r w:rsidR="007F52DA" w:rsidRPr="006C49EC">
              <w:t>nd the overall EEM package</w:t>
            </w:r>
            <w:r w:rsidRPr="006C49EC">
              <w:t>.</w:t>
            </w:r>
          </w:p>
        </w:tc>
      </w:tr>
      <w:tr w:rsidR="009F594B" w:rsidRPr="006C49EC" w:rsidTr="00DB7329">
        <w:trPr>
          <w:trHeight w:val="1516"/>
        </w:trPr>
        <w:tc>
          <w:tcPr>
            <w:tcW w:w="5229" w:type="dxa"/>
            <w:shd w:val="clear" w:color="auto" w:fill="F3F3F3"/>
          </w:tcPr>
          <w:p w:rsidR="009F594B" w:rsidRPr="006C49EC" w:rsidRDefault="009F594B" w:rsidP="00EF37DF">
            <w:pPr>
              <w:pStyle w:val="Paragraph"/>
              <w:rPr>
                <w:b/>
              </w:rPr>
            </w:pPr>
            <w:r w:rsidRPr="006C49EC">
              <w:rPr>
                <w:b/>
              </w:rPr>
              <w:t>Australian Foundries Institute (AFI)</w:t>
            </w:r>
            <w:r w:rsidR="00BD24F7" w:rsidRPr="006C49EC">
              <w:rPr>
                <w:b/>
              </w:rPr>
              <w:t xml:space="preserve"> </w:t>
            </w:r>
            <w:hyperlink r:id="rId22" w:history="1">
              <w:r w:rsidR="00BD24F7" w:rsidRPr="006C49EC">
                <w:rPr>
                  <w:rStyle w:val="Hyperlink"/>
                </w:rPr>
                <w:t>http://afiaustralia.org</w:t>
              </w:r>
            </w:hyperlink>
          </w:p>
        </w:tc>
        <w:tc>
          <w:tcPr>
            <w:tcW w:w="9028" w:type="dxa"/>
            <w:shd w:val="clear" w:color="auto" w:fill="F3F3F3"/>
          </w:tcPr>
          <w:p w:rsidR="009F594B" w:rsidRPr="006C49EC" w:rsidRDefault="00BD24F7" w:rsidP="00BD24F7">
            <w:pPr>
              <w:pStyle w:val="Paragraph"/>
            </w:pPr>
            <w:r w:rsidRPr="006C49EC">
              <w:t>The Foundry Industry Energy Efficiency (FIEE) Toolkit aims to provide decision-makers of SME foundry businesses with the guidance, tools and links to support to both assess their potential for energy efficiency improvements, and gather enough evidence to make an informed decision around investing in these improvements, or undertake further business case assessment.</w:t>
            </w:r>
          </w:p>
        </w:tc>
      </w:tr>
      <w:tr w:rsidR="00324A44" w:rsidRPr="006C49EC" w:rsidTr="00DB7329">
        <w:trPr>
          <w:trHeight w:val="1977"/>
        </w:trPr>
        <w:tc>
          <w:tcPr>
            <w:tcW w:w="5229" w:type="dxa"/>
            <w:shd w:val="clear" w:color="auto" w:fill="F3F3F3"/>
          </w:tcPr>
          <w:p w:rsidR="00703038" w:rsidRPr="006C49EC" w:rsidRDefault="00400722" w:rsidP="00B4647A">
            <w:pPr>
              <w:pStyle w:val="Paragraph"/>
              <w:rPr>
                <w:b/>
              </w:rPr>
            </w:pPr>
            <w:r w:rsidRPr="006C49EC">
              <w:rPr>
                <w:b/>
              </w:rPr>
              <w:t xml:space="preserve">European Integrated Pollution Prevention </w:t>
            </w:r>
            <w:r w:rsidR="00B4647A" w:rsidRPr="006C49EC">
              <w:rPr>
                <w:b/>
              </w:rPr>
              <w:t xml:space="preserve">and </w:t>
            </w:r>
            <w:r w:rsidRPr="006C49EC">
              <w:rPr>
                <w:b/>
              </w:rPr>
              <w:t>Control Bureau (EIPP</w:t>
            </w:r>
            <w:r w:rsidR="00B4647A" w:rsidRPr="006C49EC">
              <w:rPr>
                <w:b/>
              </w:rPr>
              <w:t>C</w:t>
            </w:r>
            <w:r w:rsidRPr="006C49EC">
              <w:rPr>
                <w:b/>
              </w:rPr>
              <w:t xml:space="preserve">B) Best Available Techniques Reference (BREF) document for </w:t>
            </w:r>
            <w:r w:rsidR="00B4647A" w:rsidRPr="006C49EC">
              <w:rPr>
                <w:b/>
              </w:rPr>
              <w:t xml:space="preserve">Smitheries and </w:t>
            </w:r>
            <w:r w:rsidRPr="006C49EC">
              <w:rPr>
                <w:b/>
              </w:rPr>
              <w:t>Foundries</w:t>
            </w:r>
            <w:r w:rsidR="00B4647A" w:rsidRPr="006C49EC">
              <w:rPr>
                <w:b/>
              </w:rPr>
              <w:t>, May 2005</w:t>
            </w:r>
          </w:p>
          <w:p w:rsidR="00B4647A" w:rsidRPr="006C49EC" w:rsidRDefault="009D4119" w:rsidP="00B4647A">
            <w:pPr>
              <w:pStyle w:val="Paragraph"/>
              <w:rPr>
                <w:b/>
              </w:rPr>
            </w:pPr>
            <w:hyperlink r:id="rId23" w:history="1">
              <w:r w:rsidR="00B4647A" w:rsidRPr="006C49EC">
                <w:rPr>
                  <w:rStyle w:val="Hyperlink"/>
                  <w:b w:val="0"/>
                </w:rPr>
                <w:t>http://eippcb.jrc.es/reference/BREF/sf_bref_0505.pdf</w:t>
              </w:r>
            </w:hyperlink>
            <w:r w:rsidR="00B4647A" w:rsidRPr="006C49EC">
              <w:rPr>
                <w:b/>
              </w:rPr>
              <w:t xml:space="preserve"> </w:t>
            </w:r>
          </w:p>
        </w:tc>
        <w:tc>
          <w:tcPr>
            <w:tcW w:w="9028" w:type="dxa"/>
            <w:shd w:val="clear" w:color="auto" w:fill="F3F3F3"/>
          </w:tcPr>
          <w:p w:rsidR="00324A44" w:rsidRPr="006C49EC" w:rsidRDefault="00400722" w:rsidP="00A50CC3">
            <w:pPr>
              <w:pStyle w:val="Paragraph"/>
            </w:pPr>
            <w:r w:rsidRPr="006C49EC">
              <w:t>It contains a comprehensive review of best available techniques</w:t>
            </w:r>
            <w:r w:rsidR="00A50CC3" w:rsidRPr="006C49EC">
              <w:t>,</w:t>
            </w:r>
            <w:r w:rsidRPr="006C49EC">
              <w:t xml:space="preserve"> </w:t>
            </w:r>
            <w:r w:rsidR="00A50CC3" w:rsidRPr="006C49EC">
              <w:t>including technologies</w:t>
            </w:r>
            <w:r w:rsidRPr="006C49EC">
              <w:t xml:space="preserve"> and oper</w:t>
            </w:r>
            <w:r w:rsidR="00A50CC3" w:rsidRPr="006C49EC">
              <w:t>ating practices through the life</w:t>
            </w:r>
            <w:r w:rsidRPr="006C49EC">
              <w:t>cycle of technology through to decommissioning</w:t>
            </w:r>
            <w:r w:rsidR="00A50CC3" w:rsidRPr="006C49EC">
              <w:t>,</w:t>
            </w:r>
            <w:r w:rsidRPr="006C49EC">
              <w:t xml:space="preserve"> for the foundries and smitheries industries, covering all ferrous and non-ferrous processes commonly used in industry. It al</w:t>
            </w:r>
            <w:r w:rsidR="00A50CC3" w:rsidRPr="006C49EC">
              <w:t>so covers emerging technologies</w:t>
            </w:r>
            <w:r w:rsidRPr="006C49EC">
              <w:t xml:space="preserve"> and contains a range of useful energy-related benchmarking information. </w:t>
            </w:r>
          </w:p>
        </w:tc>
      </w:tr>
      <w:tr w:rsidR="009F594B" w:rsidRPr="006C49EC" w:rsidTr="00E96E7A">
        <w:trPr>
          <w:trHeight w:val="298"/>
        </w:trPr>
        <w:tc>
          <w:tcPr>
            <w:tcW w:w="5229" w:type="dxa"/>
            <w:shd w:val="clear" w:color="auto" w:fill="F3F3F3"/>
          </w:tcPr>
          <w:p w:rsidR="009F594B" w:rsidRPr="006C49EC" w:rsidRDefault="009F594B" w:rsidP="00B4647A">
            <w:pPr>
              <w:pStyle w:val="Paragraph"/>
              <w:rPr>
                <w:b/>
              </w:rPr>
            </w:pPr>
            <w:r w:rsidRPr="006C49EC">
              <w:rPr>
                <w:b/>
              </w:rPr>
              <w:lastRenderedPageBreak/>
              <w:t>German Foundry Association</w:t>
            </w:r>
          </w:p>
          <w:p w:rsidR="009F594B" w:rsidRPr="006C49EC" w:rsidRDefault="009D4119" w:rsidP="00B4647A">
            <w:pPr>
              <w:pStyle w:val="Paragraph"/>
              <w:rPr>
                <w:b/>
                <w:u w:val="single"/>
              </w:rPr>
            </w:pPr>
            <w:hyperlink r:id="rId24" w:history="1">
              <w:r w:rsidR="000F568D" w:rsidRPr="006C49EC">
                <w:rPr>
                  <w:rStyle w:val="Hyperlink"/>
                </w:rPr>
                <w:t>http://www.nftn.co.za/wp-content/uploads/2011/04/Vortrag-Wolf_Global-trends.pdf</w:t>
              </w:r>
            </w:hyperlink>
          </w:p>
        </w:tc>
        <w:tc>
          <w:tcPr>
            <w:tcW w:w="9028" w:type="dxa"/>
            <w:shd w:val="clear" w:color="auto" w:fill="F3F3F3"/>
          </w:tcPr>
          <w:p w:rsidR="009F594B" w:rsidRPr="006C49EC" w:rsidRDefault="009F594B" w:rsidP="00703038">
            <w:pPr>
              <w:pStyle w:val="Paragraph"/>
            </w:pPr>
            <w:r w:rsidRPr="006C49EC">
              <w:t xml:space="preserve">This presentation provides an overview of technology and business trends in the </w:t>
            </w:r>
            <w:r w:rsidR="00A50CC3" w:rsidRPr="006C49EC">
              <w:t xml:space="preserve">foundry industry </w:t>
            </w:r>
            <w:r w:rsidRPr="006C49EC">
              <w:t>from an international perspective</w:t>
            </w:r>
            <w:r w:rsidR="00A80378" w:rsidRPr="006C49EC">
              <w:t>.</w:t>
            </w:r>
          </w:p>
        </w:tc>
      </w:tr>
      <w:tr w:rsidR="00324A44" w:rsidRPr="006C49EC" w:rsidTr="00E96E7A">
        <w:trPr>
          <w:trHeight w:val="298"/>
        </w:trPr>
        <w:tc>
          <w:tcPr>
            <w:tcW w:w="5229" w:type="dxa"/>
            <w:shd w:val="clear" w:color="auto" w:fill="F3F3F3"/>
          </w:tcPr>
          <w:p w:rsidR="00324A44" w:rsidRPr="006C49EC" w:rsidRDefault="00324A44" w:rsidP="00EF37DF">
            <w:pPr>
              <w:pStyle w:val="Paragraph"/>
              <w:rPr>
                <w:b/>
              </w:rPr>
            </w:pPr>
            <w:r w:rsidRPr="006C49EC">
              <w:rPr>
                <w:b/>
              </w:rPr>
              <w:t>The Corporate Ecosystem Services Review (ESR)</w:t>
            </w:r>
          </w:p>
          <w:p w:rsidR="00324A44" w:rsidRPr="006C49EC" w:rsidRDefault="009D4119" w:rsidP="00EF37DF">
            <w:pPr>
              <w:pStyle w:val="Paragraph"/>
              <w:rPr>
                <w:rStyle w:val="Hyperlink"/>
              </w:rPr>
            </w:pPr>
            <w:hyperlink r:id="rId25" w:history="1">
              <w:r w:rsidR="00324A44" w:rsidRPr="006C49EC">
                <w:rPr>
                  <w:rStyle w:val="Hyperlink"/>
                  <w:rFonts w:eastAsia="SC STKaiti"/>
                </w:rPr>
                <w:t>www.wri.org/</w:t>
              </w:r>
            </w:hyperlink>
          </w:p>
        </w:tc>
        <w:tc>
          <w:tcPr>
            <w:tcW w:w="9028" w:type="dxa"/>
            <w:shd w:val="clear" w:color="auto" w:fill="F3F3F3"/>
          </w:tcPr>
          <w:p w:rsidR="00324A44" w:rsidRPr="006C49EC" w:rsidRDefault="00324A44" w:rsidP="00EF37DF">
            <w:pPr>
              <w:pStyle w:val="Paragraph"/>
            </w:pPr>
            <w:r w:rsidRPr="006C49EC">
              <w:t>A structured methodology that assists in the development of strategies to manage business risks and opportunities arising from a company’s dependence and impact on ecosystems. ESR outputs support decis</w:t>
            </w:r>
            <w:r w:rsidR="004E2E95" w:rsidRPr="006C49EC">
              <w:t>ion</w:t>
            </w:r>
            <w:r w:rsidR="00A50CC3" w:rsidRPr="006C49EC">
              <w:t>-</w:t>
            </w:r>
            <w:r w:rsidR="004E2E95" w:rsidRPr="006C49EC">
              <w:t>making processes involving:</w:t>
            </w:r>
          </w:p>
          <w:p w:rsidR="00324A44" w:rsidRPr="006C49EC" w:rsidRDefault="00A50CC3" w:rsidP="004E2E95">
            <w:pPr>
              <w:pStyle w:val="ListParagraphBullet"/>
            </w:pPr>
            <w:r w:rsidRPr="006C49EC">
              <w:t xml:space="preserve">corporate </w:t>
            </w:r>
            <w:r w:rsidR="00324A44" w:rsidRPr="006C49EC">
              <w:t xml:space="preserve">business unit </w:t>
            </w:r>
            <w:r w:rsidR="004E2E95" w:rsidRPr="006C49EC">
              <w:t>or market strategy development</w:t>
            </w:r>
          </w:p>
          <w:p w:rsidR="00324A44" w:rsidRPr="006C49EC" w:rsidRDefault="00A50CC3" w:rsidP="004E2E95">
            <w:pPr>
              <w:pStyle w:val="ListParagraphBullet"/>
            </w:pPr>
            <w:r w:rsidRPr="006C49EC">
              <w:t xml:space="preserve">planning </w:t>
            </w:r>
            <w:r w:rsidR="00324A44" w:rsidRPr="006C49EC">
              <w:t>processes for corporate infrastructure projects</w:t>
            </w:r>
            <w:r w:rsidRPr="006C49EC">
              <w:t>,</w:t>
            </w:r>
            <w:r w:rsidR="00324A44" w:rsidRPr="006C49EC">
              <w:t xml:space="preserve"> such as mines</w:t>
            </w:r>
            <w:r w:rsidRPr="006C49EC">
              <w:t>, wells, pipelines, plantations</w:t>
            </w:r>
            <w:r w:rsidR="00324A44" w:rsidRPr="006C49EC">
              <w:t xml:space="preserve"> and facilities</w:t>
            </w:r>
          </w:p>
          <w:p w:rsidR="00324A44" w:rsidRPr="006C49EC" w:rsidRDefault="00A50CC3" w:rsidP="004E2E95">
            <w:pPr>
              <w:pStyle w:val="ListParagraphBullet"/>
            </w:pPr>
            <w:r w:rsidRPr="006C49EC">
              <w:t>identification of new markets, products</w:t>
            </w:r>
            <w:r w:rsidR="00324A44" w:rsidRPr="006C49EC">
              <w:t xml:space="preserve"> or services</w:t>
            </w:r>
            <w:r w:rsidRPr="006C49EC">
              <w:t>, and</w:t>
            </w:r>
            <w:r w:rsidR="00324A44" w:rsidRPr="006C49EC">
              <w:t xml:space="preserve"> identification of new revenue streams from corporate landholdings</w:t>
            </w:r>
          </w:p>
          <w:p w:rsidR="00324A44" w:rsidRPr="006C49EC" w:rsidRDefault="00A50CC3" w:rsidP="004E2E95">
            <w:pPr>
              <w:pStyle w:val="ListParagraphBullet"/>
            </w:pPr>
            <w:r w:rsidRPr="006C49EC">
              <w:t xml:space="preserve">investments </w:t>
            </w:r>
            <w:r w:rsidR="00324A44" w:rsidRPr="006C49EC">
              <w:t>in projects or companies</w:t>
            </w:r>
            <w:r w:rsidR="00BD24F7" w:rsidRPr="006C49EC">
              <w:t xml:space="preserve"> /</w:t>
            </w:r>
            <w:r w:rsidRPr="006C49EC">
              <w:t>policy</w:t>
            </w:r>
            <w:r w:rsidR="00324A44" w:rsidRPr="006C49EC">
              <w:t>-maker engagement strategies</w:t>
            </w:r>
          </w:p>
          <w:p w:rsidR="00324A44" w:rsidRPr="006C49EC" w:rsidRDefault="00A50CC3" w:rsidP="00BD24F7">
            <w:pPr>
              <w:pStyle w:val="ListParagraphBullet"/>
            </w:pPr>
            <w:r w:rsidRPr="006C49EC">
              <w:t xml:space="preserve">environmental </w:t>
            </w:r>
            <w:r w:rsidR="00324A44" w:rsidRPr="006C49EC">
              <w:t>impact assessments</w:t>
            </w:r>
            <w:r w:rsidR="00BD24F7" w:rsidRPr="006C49EC">
              <w:t xml:space="preserve"> / </w:t>
            </w:r>
            <w:r w:rsidRPr="006C49EC">
              <w:t xml:space="preserve">environmental </w:t>
            </w:r>
            <w:r w:rsidR="00324A44" w:rsidRPr="006C49EC">
              <w:t>reporting.</w:t>
            </w:r>
          </w:p>
        </w:tc>
      </w:tr>
      <w:tr w:rsidR="00324A44" w:rsidRPr="006C49EC" w:rsidTr="00E96E7A">
        <w:trPr>
          <w:trHeight w:val="298"/>
        </w:trPr>
        <w:tc>
          <w:tcPr>
            <w:tcW w:w="5229" w:type="dxa"/>
            <w:shd w:val="clear" w:color="auto" w:fill="F3F3F3"/>
          </w:tcPr>
          <w:p w:rsidR="00324A44" w:rsidRPr="006C49EC" w:rsidRDefault="00324A44" w:rsidP="00EF37DF">
            <w:pPr>
              <w:pStyle w:val="Paragraph"/>
              <w:rPr>
                <w:b/>
              </w:rPr>
            </w:pPr>
            <w:r w:rsidRPr="006C49EC">
              <w:rPr>
                <w:b/>
              </w:rPr>
              <w:t xml:space="preserve">United Nations Environment Programme </w:t>
            </w:r>
            <w:r w:rsidR="00A50CC3" w:rsidRPr="006C49EC">
              <w:rPr>
                <w:b/>
              </w:rPr>
              <w:t xml:space="preserve">(UNEP) </w:t>
            </w:r>
            <w:r w:rsidRPr="006C49EC">
              <w:rPr>
                <w:b/>
              </w:rPr>
              <w:t xml:space="preserve">– Global Environment Outlook </w:t>
            </w:r>
            <w:r w:rsidR="00A50CC3" w:rsidRPr="006C49EC">
              <w:rPr>
                <w:b/>
              </w:rPr>
              <w:t xml:space="preserve">(GEO) </w:t>
            </w:r>
            <w:r w:rsidRPr="006C49EC">
              <w:rPr>
                <w:b/>
              </w:rPr>
              <w:t>2007</w:t>
            </w:r>
          </w:p>
          <w:p w:rsidR="00324A44" w:rsidRPr="006C49EC" w:rsidRDefault="009D4119" w:rsidP="00EF37DF">
            <w:pPr>
              <w:pStyle w:val="Paragraph"/>
              <w:rPr>
                <w:rStyle w:val="Hyperlink"/>
              </w:rPr>
            </w:pPr>
            <w:hyperlink r:id="rId26" w:history="1">
              <w:r w:rsidR="00324A44" w:rsidRPr="006C49EC">
                <w:rPr>
                  <w:rStyle w:val="Hyperlink"/>
                </w:rPr>
                <w:t>http://www.unep.org/geo/geo4/media/</w:t>
              </w:r>
            </w:hyperlink>
          </w:p>
        </w:tc>
        <w:tc>
          <w:tcPr>
            <w:tcW w:w="9028" w:type="dxa"/>
            <w:shd w:val="clear" w:color="auto" w:fill="F3F3F3"/>
          </w:tcPr>
          <w:p w:rsidR="00324A44" w:rsidRPr="006C49EC" w:rsidRDefault="004A1B23" w:rsidP="00A50CC3">
            <w:pPr>
              <w:pStyle w:val="Paragraph"/>
            </w:pPr>
            <w:r w:rsidRPr="006C49EC">
              <w:t>P</w:t>
            </w:r>
            <w:r w:rsidR="00324A44" w:rsidRPr="006C49EC">
              <w:t>rovides the UNEP’s latest summary of global environmental trends. GEO is designed to assist in decision</w:t>
            </w:r>
            <w:r w:rsidR="00A50CC3" w:rsidRPr="006C49EC">
              <w:t xml:space="preserve"> </w:t>
            </w:r>
            <w:r w:rsidR="00324A44" w:rsidRPr="006C49EC">
              <w:t>making, focusing on assessment priorities and analy</w:t>
            </w:r>
            <w:r w:rsidR="004E2E95" w:rsidRPr="006C49EC">
              <w:t>s</w:t>
            </w:r>
            <w:r w:rsidR="00324A44" w:rsidRPr="006C49EC">
              <w:t>ing policy challenges and opportunities. It is also a capacity building tool, bringing together diverse stakeholder groups from all regions.</w:t>
            </w:r>
          </w:p>
        </w:tc>
      </w:tr>
      <w:tr w:rsidR="00324A44" w:rsidRPr="006C49EC" w:rsidTr="00E96E7A">
        <w:trPr>
          <w:cantSplit/>
          <w:trHeight w:val="698"/>
        </w:trPr>
        <w:tc>
          <w:tcPr>
            <w:tcW w:w="5229" w:type="dxa"/>
            <w:shd w:val="clear" w:color="auto" w:fill="F3F3F3"/>
          </w:tcPr>
          <w:p w:rsidR="00324A44" w:rsidRPr="006C49EC" w:rsidRDefault="00324A44" w:rsidP="00EF37DF">
            <w:pPr>
              <w:pStyle w:val="Paragraph"/>
              <w:rPr>
                <w:b/>
              </w:rPr>
            </w:pPr>
            <w:r w:rsidRPr="006C49EC">
              <w:rPr>
                <w:b/>
              </w:rPr>
              <w:t xml:space="preserve">World Resources Institute </w:t>
            </w:r>
            <w:r w:rsidR="00A50CC3" w:rsidRPr="006C49EC">
              <w:rPr>
                <w:b/>
              </w:rPr>
              <w:t xml:space="preserve">(WRI) </w:t>
            </w:r>
            <w:r w:rsidRPr="006C49EC">
              <w:rPr>
                <w:b/>
              </w:rPr>
              <w:t>– Earth Trends</w:t>
            </w:r>
          </w:p>
          <w:p w:rsidR="00324A44" w:rsidRPr="006C49EC" w:rsidRDefault="009D4119" w:rsidP="00EF37DF">
            <w:pPr>
              <w:pStyle w:val="Paragraph"/>
              <w:rPr>
                <w:rStyle w:val="Hyperlink"/>
              </w:rPr>
            </w:pPr>
            <w:hyperlink r:id="rId27" w:history="1">
              <w:r w:rsidR="00324A44" w:rsidRPr="006C49EC">
                <w:rPr>
                  <w:rStyle w:val="Hyperlink"/>
                </w:rPr>
                <w:t>http://earthtrends.wri.org/</w:t>
              </w:r>
            </w:hyperlink>
          </w:p>
        </w:tc>
        <w:tc>
          <w:tcPr>
            <w:tcW w:w="9028" w:type="dxa"/>
            <w:shd w:val="clear" w:color="auto" w:fill="F3F3F3"/>
          </w:tcPr>
          <w:p w:rsidR="00324A44" w:rsidRPr="006C49EC" w:rsidRDefault="004A1B23" w:rsidP="00EF37DF">
            <w:pPr>
              <w:pStyle w:val="Paragraph"/>
            </w:pPr>
            <w:r w:rsidRPr="006C49EC">
              <w:t>A</w:t>
            </w:r>
            <w:r w:rsidR="00324A44" w:rsidRPr="006C49EC">
              <w:t xml:space="preserve"> comprehensive online database, maintained by the </w:t>
            </w:r>
            <w:r w:rsidR="00A50CC3" w:rsidRPr="006C49EC">
              <w:t>WRI, focus</w:t>
            </w:r>
            <w:r w:rsidR="00324A44" w:rsidRPr="006C49EC">
              <w:t xml:space="preserve">ing on the environmental, social and economic trends that shape our world. </w:t>
            </w:r>
          </w:p>
          <w:p w:rsidR="00324A44" w:rsidRPr="006C49EC" w:rsidRDefault="00324A44" w:rsidP="00EF37DF">
            <w:pPr>
              <w:pStyle w:val="Paragraph"/>
            </w:pPr>
            <w:r w:rsidRPr="006C49EC">
              <w:t>For example, it allows for a search for water use intensity of agricultural inputs in Australia. Country profiles with maps and graphs can also be viewed.</w:t>
            </w:r>
          </w:p>
        </w:tc>
      </w:tr>
      <w:tr w:rsidR="00324A44" w:rsidRPr="006C49EC" w:rsidTr="00E96E7A">
        <w:trPr>
          <w:trHeight w:val="637"/>
        </w:trPr>
        <w:tc>
          <w:tcPr>
            <w:tcW w:w="5229" w:type="dxa"/>
            <w:shd w:val="clear" w:color="auto" w:fill="F3F3F3"/>
          </w:tcPr>
          <w:p w:rsidR="00324A44" w:rsidRPr="006C49EC" w:rsidRDefault="00324A44" w:rsidP="00EF37DF">
            <w:pPr>
              <w:pStyle w:val="Paragraph"/>
              <w:rPr>
                <w:b/>
              </w:rPr>
            </w:pPr>
            <w:r w:rsidRPr="006C49EC">
              <w:rPr>
                <w:b/>
              </w:rPr>
              <w:lastRenderedPageBreak/>
              <w:t>Harvard Business Review – Sustainability</w:t>
            </w:r>
          </w:p>
          <w:p w:rsidR="00324A44" w:rsidRPr="006C49EC" w:rsidRDefault="009D4119" w:rsidP="00EF37DF">
            <w:pPr>
              <w:pStyle w:val="Paragraph"/>
              <w:rPr>
                <w:rStyle w:val="Hyperlink"/>
              </w:rPr>
            </w:pPr>
            <w:hyperlink r:id="rId28" w:history="1">
              <w:r w:rsidR="00324A44" w:rsidRPr="006C49EC">
                <w:rPr>
                  <w:rStyle w:val="Hyperlink"/>
                </w:rPr>
                <w:t>http://hbr.org/</w:t>
              </w:r>
            </w:hyperlink>
          </w:p>
        </w:tc>
        <w:tc>
          <w:tcPr>
            <w:tcW w:w="9028" w:type="dxa"/>
            <w:shd w:val="clear" w:color="auto" w:fill="F3F3F3"/>
          </w:tcPr>
          <w:p w:rsidR="00324A44" w:rsidRPr="006C49EC" w:rsidRDefault="004A1B23" w:rsidP="00EF37DF">
            <w:pPr>
              <w:pStyle w:val="Paragraph"/>
            </w:pPr>
            <w:r w:rsidRPr="006C49EC">
              <w:t>P</w:t>
            </w:r>
            <w:r w:rsidR="00324A44" w:rsidRPr="006C49EC">
              <w:t xml:space="preserve">rovides insights into how companies globally view sustainability as an issue, </w:t>
            </w:r>
            <w:r w:rsidR="00A50CC3" w:rsidRPr="006C49EC">
              <w:t xml:space="preserve">and </w:t>
            </w:r>
            <w:r w:rsidR="00324A44" w:rsidRPr="006C49EC">
              <w:t>details case studies that</w:t>
            </w:r>
            <w:r w:rsidR="004E2E95" w:rsidRPr="006C49EC">
              <w:t xml:space="preserve"> demonstrate important learning</w:t>
            </w:r>
            <w:r w:rsidR="00324A44" w:rsidRPr="006C49EC">
              <w:t>s and strategies for the integration</w:t>
            </w:r>
            <w:r w:rsidR="00A50CC3" w:rsidRPr="006C49EC">
              <w:t xml:space="preserve"> of sustainability within every</w:t>
            </w:r>
            <w:r w:rsidR="00324A44" w:rsidRPr="006C49EC">
              <w:t xml:space="preserve">day business practice. </w:t>
            </w:r>
          </w:p>
          <w:p w:rsidR="00324A44" w:rsidRPr="006C49EC" w:rsidRDefault="00324A44" w:rsidP="00D81207">
            <w:pPr>
              <w:pStyle w:val="Paragraph"/>
            </w:pPr>
            <w:r w:rsidRPr="006C49EC">
              <w:t>Sustainability as a topic currently results in over 330 articles, of which 224 are case studies alone</w:t>
            </w:r>
            <w:r w:rsidR="00D81207" w:rsidRPr="006C49EC">
              <w:t>.</w:t>
            </w:r>
            <w:r w:rsidRPr="006C49EC">
              <w:t xml:space="preserve"> </w:t>
            </w:r>
            <w:hyperlink r:id="rId29" w:history="1">
              <w:r w:rsidRPr="006C49EC">
                <w:rPr>
                  <w:rStyle w:val="Hyperlink"/>
                </w:rPr>
                <w:t>http://hbr.org/search/sustainability/</w:t>
              </w:r>
            </w:hyperlink>
            <w:r w:rsidRPr="006C49EC">
              <w:t xml:space="preserve">  </w:t>
            </w:r>
          </w:p>
        </w:tc>
      </w:tr>
      <w:tr w:rsidR="00324A44" w:rsidRPr="006C49EC" w:rsidTr="00E96E7A">
        <w:trPr>
          <w:cantSplit/>
          <w:trHeight w:val="637"/>
        </w:trPr>
        <w:tc>
          <w:tcPr>
            <w:tcW w:w="5229" w:type="dxa"/>
            <w:shd w:val="clear" w:color="auto" w:fill="F3F3F3"/>
          </w:tcPr>
          <w:p w:rsidR="00324A44" w:rsidRPr="006C49EC" w:rsidRDefault="00324A44" w:rsidP="00EF37DF">
            <w:pPr>
              <w:pStyle w:val="Paragraph"/>
              <w:rPr>
                <w:b/>
              </w:rPr>
            </w:pPr>
            <w:r w:rsidRPr="006C49EC">
              <w:rPr>
                <w:b/>
              </w:rPr>
              <w:t>MIT Sloan Management Review -Sustainability</w:t>
            </w:r>
          </w:p>
          <w:p w:rsidR="00324A44" w:rsidRPr="006C49EC" w:rsidRDefault="009D4119" w:rsidP="00EF37DF">
            <w:pPr>
              <w:pStyle w:val="Paragraph"/>
              <w:rPr>
                <w:rStyle w:val="Hyperlink"/>
              </w:rPr>
            </w:pPr>
            <w:hyperlink r:id="rId30" w:history="1">
              <w:r w:rsidR="00324A44" w:rsidRPr="006C49EC">
                <w:rPr>
                  <w:rStyle w:val="Hyperlink"/>
                </w:rPr>
                <w:t>http://sloanreview.mit.edu/sustainability/</w:t>
              </w:r>
            </w:hyperlink>
          </w:p>
        </w:tc>
        <w:tc>
          <w:tcPr>
            <w:tcW w:w="9028" w:type="dxa"/>
            <w:shd w:val="clear" w:color="auto" w:fill="F3F3F3"/>
          </w:tcPr>
          <w:p w:rsidR="00324A44" w:rsidRPr="006C49EC" w:rsidRDefault="004A1B23" w:rsidP="00EF37DF">
            <w:pPr>
              <w:pStyle w:val="Paragraph"/>
            </w:pPr>
            <w:r w:rsidRPr="006C49EC">
              <w:t>A</w:t>
            </w:r>
            <w:r w:rsidR="00324A44" w:rsidRPr="006C49EC">
              <w:t xml:space="preserve"> business journal that evaluates and reports on new research to help readers identify and understand significant trends in management, one of which is the business of sustainability.</w:t>
            </w:r>
          </w:p>
        </w:tc>
      </w:tr>
      <w:tr w:rsidR="00324A44" w:rsidRPr="006C49EC" w:rsidTr="00E96E7A">
        <w:trPr>
          <w:cantSplit/>
          <w:trHeight w:val="1254"/>
        </w:trPr>
        <w:tc>
          <w:tcPr>
            <w:tcW w:w="5229" w:type="dxa"/>
            <w:shd w:val="clear" w:color="auto" w:fill="F3F3F3"/>
          </w:tcPr>
          <w:p w:rsidR="00324A44" w:rsidRPr="006C49EC" w:rsidRDefault="00324A44" w:rsidP="00EF37DF">
            <w:pPr>
              <w:pStyle w:val="Paragraph"/>
              <w:rPr>
                <w:b/>
              </w:rPr>
            </w:pPr>
            <w:r w:rsidRPr="006C49EC">
              <w:rPr>
                <w:b/>
              </w:rPr>
              <w:t>World Business Council for Sustainable Development</w:t>
            </w:r>
          </w:p>
          <w:p w:rsidR="00324A44" w:rsidRPr="006C49EC" w:rsidRDefault="009D4119" w:rsidP="00EF37DF">
            <w:pPr>
              <w:pStyle w:val="Paragraph"/>
              <w:rPr>
                <w:rStyle w:val="Hyperlink"/>
              </w:rPr>
            </w:pPr>
            <w:hyperlink r:id="rId31" w:history="1">
              <w:r w:rsidR="00324A44" w:rsidRPr="006C49EC">
                <w:rPr>
                  <w:rStyle w:val="Hyperlink"/>
                </w:rPr>
                <w:t>http://www.wbcsd.org</w:t>
              </w:r>
            </w:hyperlink>
          </w:p>
        </w:tc>
        <w:tc>
          <w:tcPr>
            <w:tcW w:w="9028" w:type="dxa"/>
            <w:shd w:val="clear" w:color="auto" w:fill="F3F3F3"/>
          </w:tcPr>
          <w:p w:rsidR="00324A44" w:rsidRPr="006C49EC" w:rsidRDefault="004A1B23" w:rsidP="00EF37DF">
            <w:pPr>
              <w:pStyle w:val="Paragraph"/>
            </w:pPr>
            <w:r w:rsidRPr="006C49EC">
              <w:t>A</w:t>
            </w:r>
            <w:r w:rsidR="00324A44" w:rsidRPr="006C49EC">
              <w:t xml:space="preserve"> CEO-led, global association of some 200 companies dealing exclusively with business and sustainable development.</w:t>
            </w:r>
          </w:p>
          <w:p w:rsidR="00324A44" w:rsidRPr="006C49EC" w:rsidRDefault="00324A44" w:rsidP="007B5013">
            <w:pPr>
              <w:pStyle w:val="Paragraph"/>
            </w:pPr>
            <w:r w:rsidRPr="006C49EC">
              <w:t>The Council provides a platform for companies to explore sustainable development, share knowledge, experiences and best practices, and to advocate business positions on these issues in a variety of forums, working with governments, non-governmental and intergovernmental organi</w:t>
            </w:r>
            <w:r w:rsidR="007B5013" w:rsidRPr="006C49EC">
              <w:t>s</w:t>
            </w:r>
            <w:r w:rsidRPr="006C49EC">
              <w:t>ations.</w:t>
            </w:r>
          </w:p>
        </w:tc>
      </w:tr>
      <w:tr w:rsidR="00324A44" w:rsidRPr="00EB593F" w:rsidTr="00E96E7A">
        <w:trPr>
          <w:cantSplit/>
          <w:trHeight w:val="1254"/>
        </w:trPr>
        <w:tc>
          <w:tcPr>
            <w:tcW w:w="5229" w:type="dxa"/>
            <w:shd w:val="clear" w:color="auto" w:fill="F3F3F3"/>
          </w:tcPr>
          <w:p w:rsidR="00324A44" w:rsidRPr="006C49EC" w:rsidRDefault="00324A44" w:rsidP="00EF37DF">
            <w:pPr>
              <w:pStyle w:val="Paragraph"/>
              <w:rPr>
                <w:b/>
              </w:rPr>
            </w:pPr>
            <w:r w:rsidRPr="006C49EC">
              <w:rPr>
                <w:b/>
              </w:rPr>
              <w:t>Global Reporting Initiative</w:t>
            </w:r>
          </w:p>
          <w:p w:rsidR="00324A44" w:rsidRPr="006C49EC" w:rsidRDefault="009D4119" w:rsidP="00EF37DF">
            <w:pPr>
              <w:pStyle w:val="Paragraph"/>
              <w:rPr>
                <w:rStyle w:val="Hyperlink"/>
              </w:rPr>
            </w:pPr>
            <w:hyperlink r:id="rId32" w:history="1">
              <w:r w:rsidR="00324A44" w:rsidRPr="006C49EC">
                <w:rPr>
                  <w:rStyle w:val="Hyperlink"/>
                </w:rPr>
                <w:t>http://www.globalreporting.org/Home</w:t>
              </w:r>
            </w:hyperlink>
          </w:p>
        </w:tc>
        <w:tc>
          <w:tcPr>
            <w:tcW w:w="9028" w:type="dxa"/>
            <w:shd w:val="clear" w:color="auto" w:fill="F3F3F3"/>
          </w:tcPr>
          <w:p w:rsidR="00324A44" w:rsidRPr="00EB593F" w:rsidRDefault="004A1B23" w:rsidP="00EF37DF">
            <w:pPr>
              <w:pStyle w:val="Paragraph"/>
            </w:pPr>
            <w:r w:rsidRPr="006C49EC">
              <w:t>T</w:t>
            </w:r>
            <w:r w:rsidR="00324A44" w:rsidRPr="006C49EC">
              <w:t>he world’s most widely used sustainability reporting framework. This framework sets out the principles and indicators that organisations can use to measure and report thei</w:t>
            </w:r>
            <w:r w:rsidR="00D81207" w:rsidRPr="006C49EC">
              <w:t>r economic, environmental</w:t>
            </w:r>
            <w:r w:rsidR="00324A44" w:rsidRPr="006C49EC">
              <w:t xml:space="preserve"> and social performance.</w:t>
            </w:r>
          </w:p>
        </w:tc>
      </w:tr>
    </w:tbl>
    <w:p w:rsidR="006E7731" w:rsidRPr="00EB593F" w:rsidRDefault="006E7731" w:rsidP="00375EC1">
      <w:pPr>
        <w:pStyle w:val="Paragraph"/>
      </w:pPr>
    </w:p>
    <w:sectPr w:rsidR="006E7731" w:rsidRPr="00EB593F" w:rsidSect="003555ED">
      <w:footerReference w:type="default" r:id="rId33"/>
      <w:type w:val="continuous"/>
      <w:pgSz w:w="16838" w:h="11899" w:orient="landscape" w:code="9"/>
      <w:pgMar w:top="1440" w:right="1440" w:bottom="1440" w:left="1440" w:header="851" w:footer="850"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19" w:rsidRDefault="009D4119">
      <w:r>
        <w:separator/>
      </w:r>
    </w:p>
  </w:endnote>
  <w:endnote w:type="continuationSeparator" w:id="0">
    <w:p w:rsidR="009D4119" w:rsidRDefault="009D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06" w:rsidRPr="000F4572" w:rsidRDefault="008F34A6" w:rsidP="008F34A6">
    <w:pPr>
      <w:pBdr>
        <w:top w:val="single" w:sz="4" w:space="1" w:color="auto"/>
      </w:pBdr>
      <w:tabs>
        <w:tab w:val="right" w:pos="13892"/>
      </w:tabs>
      <w:ind w:right="-12"/>
      <w:rPr>
        <w:rFonts w:ascii="Calibri" w:hAnsi="Calibri" w:cs="Calibri"/>
        <w:color w:val="5F497A"/>
        <w:sz w:val="18"/>
        <w:szCs w:val="18"/>
      </w:rPr>
    </w:pPr>
    <w:r w:rsidRPr="000F4572">
      <w:rPr>
        <w:rFonts w:ascii="Calibri" w:hAnsi="Calibri" w:cs="Calibri"/>
        <w:sz w:val="18"/>
        <w:szCs w:val="18"/>
      </w:rPr>
      <w:t>©</w:t>
    </w:r>
    <w:r w:rsidR="000F4572">
      <w:rPr>
        <w:rFonts w:ascii="Calibri" w:hAnsi="Calibri" w:cs="Calibri"/>
        <w:sz w:val="18"/>
        <w:szCs w:val="18"/>
      </w:rPr>
      <w:t xml:space="preserve"> </w:t>
    </w:r>
    <w:r w:rsidRPr="000F4572">
      <w:rPr>
        <w:rFonts w:ascii="Calibri" w:hAnsi="Calibri" w:cs="Calibri"/>
        <w:sz w:val="18"/>
        <w:szCs w:val="18"/>
      </w:rPr>
      <w:t>Manufacturing Skills Australia</w:t>
    </w:r>
    <w:r w:rsidRPr="000F4572">
      <w:rPr>
        <w:rFonts w:ascii="Calibri" w:hAnsi="Calibri" w:cs="Calibri"/>
        <w:color w:val="5F497A"/>
        <w:sz w:val="18"/>
        <w:szCs w:val="18"/>
      </w:rPr>
      <w:tab/>
    </w:r>
    <w:r w:rsidR="000F4572">
      <w:rPr>
        <w:rFonts w:ascii="Calibri" w:hAnsi="Calibri" w:cs="Calibri"/>
        <w:color w:val="5F497A"/>
        <w:sz w:val="18"/>
        <w:szCs w:val="18"/>
      </w:rPr>
      <w:t xml:space="preserve">Page </w:t>
    </w:r>
    <w:r w:rsidR="00DE0D98" w:rsidRPr="000F4572">
      <w:rPr>
        <w:rFonts w:ascii="Calibri" w:hAnsi="Calibri" w:cs="Calibri"/>
        <w:color w:val="5F497A"/>
        <w:sz w:val="18"/>
        <w:szCs w:val="18"/>
      </w:rPr>
      <w:fldChar w:fldCharType="begin"/>
    </w:r>
    <w:r w:rsidR="000F4572" w:rsidRPr="000F4572">
      <w:rPr>
        <w:rFonts w:ascii="Calibri" w:hAnsi="Calibri" w:cs="Calibri"/>
        <w:color w:val="5F497A"/>
        <w:sz w:val="18"/>
        <w:szCs w:val="18"/>
      </w:rPr>
      <w:instrText xml:space="preserve"> PAGE   \* MERGEFORMAT </w:instrText>
    </w:r>
    <w:r w:rsidR="00DE0D98" w:rsidRPr="000F4572">
      <w:rPr>
        <w:rFonts w:ascii="Calibri" w:hAnsi="Calibri" w:cs="Calibri"/>
        <w:color w:val="5F497A"/>
        <w:sz w:val="18"/>
        <w:szCs w:val="18"/>
      </w:rPr>
      <w:fldChar w:fldCharType="separate"/>
    </w:r>
    <w:r w:rsidR="00D24C10">
      <w:rPr>
        <w:rFonts w:ascii="Calibri" w:hAnsi="Calibri" w:cs="Calibri"/>
        <w:color w:val="5F497A"/>
        <w:sz w:val="18"/>
        <w:szCs w:val="18"/>
      </w:rPr>
      <w:t>3</w:t>
    </w:r>
    <w:r w:rsidR="00DE0D98" w:rsidRPr="000F4572">
      <w:rPr>
        <w:rFonts w:ascii="Calibri" w:hAnsi="Calibri" w:cs="Calibri"/>
        <w:color w:val="5F497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72" w:rsidRPr="000F4572" w:rsidRDefault="000F4572" w:rsidP="008F34A6">
    <w:pPr>
      <w:pBdr>
        <w:top w:val="single" w:sz="4" w:space="1" w:color="auto"/>
      </w:pBdr>
      <w:tabs>
        <w:tab w:val="right" w:pos="13892"/>
      </w:tabs>
      <w:ind w:right="-12"/>
      <w:rPr>
        <w:rFonts w:ascii="Calibri" w:hAnsi="Calibri" w:cs="Calibri"/>
        <w:color w:val="5F497A"/>
        <w:sz w:val="18"/>
        <w:szCs w:val="18"/>
      </w:rPr>
    </w:pPr>
    <w:r w:rsidRPr="000F4572">
      <w:rPr>
        <w:rFonts w:ascii="Calibri" w:hAnsi="Calibri" w:cs="Calibri"/>
        <w:sz w:val="18"/>
        <w:szCs w:val="18"/>
      </w:rPr>
      <w:t>©</w:t>
    </w:r>
    <w:r>
      <w:rPr>
        <w:rFonts w:ascii="Calibri" w:hAnsi="Calibri" w:cs="Calibri"/>
        <w:sz w:val="18"/>
        <w:szCs w:val="18"/>
      </w:rPr>
      <w:t xml:space="preserve"> </w:t>
    </w:r>
    <w:r w:rsidRPr="000F4572">
      <w:rPr>
        <w:rFonts w:ascii="Calibri" w:hAnsi="Calibri" w:cs="Calibri"/>
        <w:sz w:val="18"/>
        <w:szCs w:val="18"/>
      </w:rPr>
      <w:t>Manufacturing Skills Australia</w:t>
    </w:r>
    <w:r w:rsidRPr="000F4572">
      <w:rPr>
        <w:rFonts w:ascii="Calibri" w:hAnsi="Calibri" w:cs="Calibri"/>
        <w:color w:val="5F497A"/>
        <w:sz w:val="18"/>
        <w:szCs w:val="18"/>
      </w:rPr>
      <w:tab/>
    </w:r>
    <w:r>
      <w:rPr>
        <w:rFonts w:ascii="Calibri" w:hAnsi="Calibri" w:cs="Calibri"/>
        <w:color w:val="5F497A"/>
        <w:sz w:val="18"/>
        <w:szCs w:val="18"/>
      </w:rPr>
      <w:t xml:space="preserve">Page </w:t>
    </w:r>
    <w:r w:rsidR="00DE0D98" w:rsidRPr="000F4572">
      <w:rPr>
        <w:rFonts w:ascii="Calibri" w:hAnsi="Calibri" w:cs="Calibri"/>
        <w:color w:val="5F497A"/>
        <w:sz w:val="18"/>
        <w:szCs w:val="18"/>
      </w:rPr>
      <w:fldChar w:fldCharType="begin"/>
    </w:r>
    <w:r w:rsidRPr="000F4572">
      <w:rPr>
        <w:rFonts w:ascii="Calibri" w:hAnsi="Calibri" w:cs="Calibri"/>
        <w:color w:val="5F497A"/>
        <w:sz w:val="18"/>
        <w:szCs w:val="18"/>
      </w:rPr>
      <w:instrText xml:space="preserve"> PAGE   \* MERGEFORMAT </w:instrText>
    </w:r>
    <w:r w:rsidR="00DE0D98" w:rsidRPr="000F4572">
      <w:rPr>
        <w:rFonts w:ascii="Calibri" w:hAnsi="Calibri" w:cs="Calibri"/>
        <w:color w:val="5F497A"/>
        <w:sz w:val="18"/>
        <w:szCs w:val="18"/>
      </w:rPr>
      <w:fldChar w:fldCharType="separate"/>
    </w:r>
    <w:r w:rsidR="00D24C10">
      <w:rPr>
        <w:rFonts w:ascii="Calibri" w:hAnsi="Calibri" w:cs="Calibri"/>
        <w:color w:val="5F497A"/>
        <w:sz w:val="18"/>
        <w:szCs w:val="18"/>
      </w:rPr>
      <w:t>10</w:t>
    </w:r>
    <w:r w:rsidR="00DE0D98" w:rsidRPr="000F4572">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19" w:rsidRDefault="009D4119">
      <w:r>
        <w:separator/>
      </w:r>
    </w:p>
  </w:footnote>
  <w:footnote w:type="continuationSeparator" w:id="0">
    <w:p w:rsidR="009D4119" w:rsidRDefault="009D4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72" w:rsidRDefault="000F4572" w:rsidP="007341A4">
    <w:pPr>
      <w:pStyle w:val="Header"/>
      <w:tabs>
        <w:tab w:val="clear" w:pos="4320"/>
        <w:tab w:val="clear" w:pos="8640"/>
        <w:tab w:val="right" w:pos="13892"/>
      </w:tabs>
      <w:rPr>
        <w:rFonts w:asciiTheme="minorHAnsi" w:hAnsiTheme="minorHAnsi" w:cstheme="minorHAnsi"/>
        <w:sz w:val="20"/>
        <w:szCs w:val="20"/>
      </w:rPr>
    </w:pPr>
    <w:r>
      <w:rPr>
        <w:rFonts w:asciiTheme="minorHAnsi" w:hAnsiTheme="minorHAnsi" w:cstheme="minorHAnsi"/>
        <w:sz w:val="20"/>
        <w:szCs w:val="20"/>
      </w:rPr>
      <w:t>Embedding Energy Management</w:t>
    </w:r>
    <w:r>
      <w:rPr>
        <w:rFonts w:asciiTheme="minorHAnsi" w:hAnsiTheme="minorHAnsi" w:cstheme="minorHAnsi"/>
        <w:sz w:val="20"/>
        <w:szCs w:val="20"/>
      </w:rPr>
      <w:tab/>
      <w:t>Practice guide - Energy and business planning</w:t>
    </w:r>
  </w:p>
  <w:p w:rsidR="000F4572" w:rsidRPr="007341A4" w:rsidRDefault="000F4572" w:rsidP="007341A4">
    <w:pPr>
      <w:pStyle w:val="Header"/>
      <w:pBdr>
        <w:top w:val="single" w:sz="8" w:space="1" w:color="auto"/>
      </w:pBdr>
      <w:tabs>
        <w:tab w:val="clear" w:pos="4320"/>
        <w:tab w:val="clear" w:pos="8640"/>
        <w:tab w:val="right" w:pos="13892"/>
      </w:tabs>
      <w:rPr>
        <w:rFonts w:asciiTheme="minorHAnsi" w:hAnsiTheme="minorHAnsi" w:cstheme="minorHAnsi"/>
        <w:sz w:val="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0A7D0659"/>
    <w:multiLevelType w:val="hybridMultilevel"/>
    <w:tmpl w:val="940AB4A8"/>
    <w:lvl w:ilvl="0" w:tplc="82A0D172">
      <w:start w:val="1"/>
      <w:numFmt w:val="upperLetter"/>
      <w:lvlText w:val="%1."/>
      <w:lvlJc w:val="left"/>
      <w:pPr>
        <w:tabs>
          <w:tab w:val="num" w:pos="720"/>
        </w:tabs>
        <w:ind w:left="720" w:hanging="360"/>
      </w:pPr>
      <w:rPr>
        <w:rFonts w:hint="default"/>
      </w:rPr>
    </w:lvl>
    <w:lvl w:ilvl="1" w:tplc="B3AC6858">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3D2215D"/>
    <w:multiLevelType w:val="hybridMultilevel"/>
    <w:tmpl w:val="439294A8"/>
    <w:lvl w:ilvl="0" w:tplc="04090001">
      <w:start w:val="1"/>
      <w:numFmt w:val="bullet"/>
      <w:lvlText w:val=""/>
      <w:lvlJc w:val="left"/>
      <w:pPr>
        <w:tabs>
          <w:tab w:val="num" w:pos="801"/>
        </w:tabs>
        <w:ind w:left="801" w:hanging="360"/>
      </w:pPr>
      <w:rPr>
        <w:rFonts w:ascii="Symbol" w:hAnsi="Symbol" w:cs="Symbol" w:hint="default"/>
      </w:rPr>
    </w:lvl>
    <w:lvl w:ilvl="1" w:tplc="04090003">
      <w:start w:val="1"/>
      <w:numFmt w:val="bullet"/>
      <w:lvlText w:val="o"/>
      <w:lvlJc w:val="left"/>
      <w:pPr>
        <w:tabs>
          <w:tab w:val="num" w:pos="1521"/>
        </w:tabs>
        <w:ind w:left="1521" w:hanging="360"/>
      </w:pPr>
      <w:rPr>
        <w:rFonts w:ascii="Courier New" w:hAnsi="Courier New" w:cs="Courier New" w:hint="default"/>
      </w:rPr>
    </w:lvl>
    <w:lvl w:ilvl="2" w:tplc="04090005">
      <w:start w:val="1"/>
      <w:numFmt w:val="bullet"/>
      <w:lvlText w:val=""/>
      <w:lvlJc w:val="left"/>
      <w:pPr>
        <w:tabs>
          <w:tab w:val="num" w:pos="2241"/>
        </w:tabs>
        <w:ind w:left="2241" w:hanging="360"/>
      </w:pPr>
      <w:rPr>
        <w:rFonts w:ascii="Wingdings" w:hAnsi="Wingdings" w:cs="Wingdings" w:hint="default"/>
      </w:rPr>
    </w:lvl>
    <w:lvl w:ilvl="3" w:tplc="04090001">
      <w:start w:val="1"/>
      <w:numFmt w:val="bullet"/>
      <w:lvlText w:val=""/>
      <w:lvlJc w:val="left"/>
      <w:pPr>
        <w:tabs>
          <w:tab w:val="num" w:pos="2961"/>
        </w:tabs>
        <w:ind w:left="2961" w:hanging="360"/>
      </w:pPr>
      <w:rPr>
        <w:rFonts w:ascii="Symbol" w:hAnsi="Symbol" w:cs="Symbol" w:hint="default"/>
      </w:rPr>
    </w:lvl>
    <w:lvl w:ilvl="4" w:tplc="04090003">
      <w:start w:val="1"/>
      <w:numFmt w:val="bullet"/>
      <w:lvlText w:val="o"/>
      <w:lvlJc w:val="left"/>
      <w:pPr>
        <w:tabs>
          <w:tab w:val="num" w:pos="3681"/>
        </w:tabs>
        <w:ind w:left="3681" w:hanging="360"/>
      </w:pPr>
      <w:rPr>
        <w:rFonts w:ascii="Courier New" w:hAnsi="Courier New" w:cs="Courier New" w:hint="default"/>
      </w:rPr>
    </w:lvl>
    <w:lvl w:ilvl="5" w:tplc="04090005">
      <w:start w:val="1"/>
      <w:numFmt w:val="bullet"/>
      <w:lvlText w:val=""/>
      <w:lvlJc w:val="left"/>
      <w:pPr>
        <w:tabs>
          <w:tab w:val="num" w:pos="4401"/>
        </w:tabs>
        <w:ind w:left="4401" w:hanging="360"/>
      </w:pPr>
      <w:rPr>
        <w:rFonts w:ascii="Wingdings" w:hAnsi="Wingdings" w:cs="Wingdings" w:hint="default"/>
      </w:rPr>
    </w:lvl>
    <w:lvl w:ilvl="6" w:tplc="04090001">
      <w:start w:val="1"/>
      <w:numFmt w:val="bullet"/>
      <w:lvlText w:val=""/>
      <w:lvlJc w:val="left"/>
      <w:pPr>
        <w:tabs>
          <w:tab w:val="num" w:pos="5121"/>
        </w:tabs>
        <w:ind w:left="5121" w:hanging="360"/>
      </w:pPr>
      <w:rPr>
        <w:rFonts w:ascii="Symbol" w:hAnsi="Symbol" w:cs="Symbol" w:hint="default"/>
      </w:rPr>
    </w:lvl>
    <w:lvl w:ilvl="7" w:tplc="04090003">
      <w:start w:val="1"/>
      <w:numFmt w:val="bullet"/>
      <w:lvlText w:val="o"/>
      <w:lvlJc w:val="left"/>
      <w:pPr>
        <w:tabs>
          <w:tab w:val="num" w:pos="5841"/>
        </w:tabs>
        <w:ind w:left="5841" w:hanging="360"/>
      </w:pPr>
      <w:rPr>
        <w:rFonts w:ascii="Courier New" w:hAnsi="Courier New" w:cs="Courier New" w:hint="default"/>
      </w:rPr>
    </w:lvl>
    <w:lvl w:ilvl="8" w:tplc="04090005">
      <w:start w:val="1"/>
      <w:numFmt w:val="bullet"/>
      <w:lvlText w:val=""/>
      <w:lvlJc w:val="left"/>
      <w:pPr>
        <w:tabs>
          <w:tab w:val="num" w:pos="6561"/>
        </w:tabs>
        <w:ind w:left="6561" w:hanging="360"/>
      </w:pPr>
      <w:rPr>
        <w:rFonts w:ascii="Wingdings" w:hAnsi="Wingdings" w:cs="Wingdings" w:hint="default"/>
      </w:rPr>
    </w:lvl>
  </w:abstractNum>
  <w:abstractNum w:abstractNumId="5">
    <w:nsid w:val="195F1483"/>
    <w:multiLevelType w:val="hybridMultilevel"/>
    <w:tmpl w:val="2EF49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2E7FA1"/>
    <w:multiLevelType w:val="hybridMultilevel"/>
    <w:tmpl w:val="38F6A9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5F90B09"/>
    <w:multiLevelType w:val="hybridMultilevel"/>
    <w:tmpl w:val="56F8E9D8"/>
    <w:lvl w:ilvl="0" w:tplc="CAD86C1C">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9BF447B"/>
    <w:multiLevelType w:val="hybridMultilevel"/>
    <w:tmpl w:val="E59A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C96E68"/>
    <w:multiLevelType w:val="hybridMultilevel"/>
    <w:tmpl w:val="CD40B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8FE37D1"/>
    <w:multiLevelType w:val="hybridMultilevel"/>
    <w:tmpl w:val="FEBE5C16"/>
    <w:lvl w:ilvl="0" w:tplc="0C09000F">
      <w:start w:val="1"/>
      <w:numFmt w:val="decimal"/>
      <w:lvlText w:val="%1."/>
      <w:lvlJc w:val="left"/>
      <w:pPr>
        <w:ind w:left="720" w:hanging="360"/>
      </w:pPr>
    </w:lvl>
    <w:lvl w:ilvl="1" w:tplc="0D0C0A0E">
      <w:numFmt w:val="bullet"/>
      <w:lvlText w:val="•"/>
      <w:lvlJc w:val="left"/>
      <w:pPr>
        <w:ind w:left="1440" w:hanging="360"/>
      </w:pPr>
      <w:rPr>
        <w:rFonts w:ascii="MyriadPro-Light" w:eastAsia="Times" w:hAnsi="MyriadPro-Light" w:cs="MyriadPro-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3037B0"/>
    <w:multiLevelType w:val="hybridMultilevel"/>
    <w:tmpl w:val="4A88A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33876BA"/>
    <w:multiLevelType w:val="hybridMultilevel"/>
    <w:tmpl w:val="3B34A5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FB319F"/>
    <w:multiLevelType w:val="hybridMultilevel"/>
    <w:tmpl w:val="BBDC6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3FD7868"/>
    <w:multiLevelType w:val="hybridMultilevel"/>
    <w:tmpl w:val="A83A6D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7276283"/>
    <w:multiLevelType w:val="multilevel"/>
    <w:tmpl w:val="784EC7A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882DA8"/>
    <w:multiLevelType w:val="hybridMultilevel"/>
    <w:tmpl w:val="A962ACCE"/>
    <w:lvl w:ilvl="0" w:tplc="04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17">
    <w:nsid w:val="4A2A5F07"/>
    <w:multiLevelType w:val="hybridMultilevel"/>
    <w:tmpl w:val="985444F4"/>
    <w:lvl w:ilvl="0" w:tplc="0C090001">
      <w:start w:val="1"/>
      <w:numFmt w:val="bullet"/>
      <w:lvlText w:val=""/>
      <w:lvlJc w:val="left"/>
      <w:pPr>
        <w:ind w:left="720" w:hanging="360"/>
      </w:pPr>
      <w:rPr>
        <w:rFonts w:ascii="Symbol" w:hAnsi="Symbol" w:hint="default"/>
      </w:rPr>
    </w:lvl>
    <w:lvl w:ilvl="1" w:tplc="0D0C0A0E">
      <w:numFmt w:val="bullet"/>
      <w:lvlText w:val="•"/>
      <w:lvlJc w:val="left"/>
      <w:pPr>
        <w:ind w:left="1440" w:hanging="360"/>
      </w:pPr>
      <w:rPr>
        <w:rFonts w:ascii="MyriadPro-Light" w:eastAsia="Times" w:hAnsi="MyriadPro-Light" w:cs="MyriadPro-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B2171C0"/>
    <w:multiLevelType w:val="hybridMultilevel"/>
    <w:tmpl w:val="6C5449B2"/>
    <w:lvl w:ilvl="0" w:tplc="EC36913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BE2582E"/>
    <w:multiLevelType w:val="hybridMultilevel"/>
    <w:tmpl w:val="6F1A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9D231F"/>
    <w:multiLevelType w:val="hybridMultilevel"/>
    <w:tmpl w:val="26CE1204"/>
    <w:lvl w:ilvl="0" w:tplc="B3AC68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6B3349"/>
    <w:multiLevelType w:val="hybridMultilevel"/>
    <w:tmpl w:val="6310FC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714F98"/>
    <w:multiLevelType w:val="multilevel"/>
    <w:tmpl w:val="12800E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491276"/>
    <w:multiLevelType w:val="hybridMultilevel"/>
    <w:tmpl w:val="C832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D36813"/>
    <w:multiLevelType w:val="multilevel"/>
    <w:tmpl w:val="EB9430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D944E6"/>
    <w:multiLevelType w:val="hybridMultilevel"/>
    <w:tmpl w:val="B8F8AC56"/>
    <w:lvl w:ilvl="0" w:tplc="0C090001">
      <w:start w:val="1"/>
      <w:numFmt w:val="bullet"/>
      <w:lvlText w:val=""/>
      <w:lvlJc w:val="left"/>
      <w:pPr>
        <w:ind w:left="720" w:hanging="360"/>
      </w:pPr>
      <w:rPr>
        <w:rFonts w:ascii="Symbol" w:hAnsi="Symbol" w:hint="default"/>
      </w:rPr>
    </w:lvl>
    <w:lvl w:ilvl="1" w:tplc="0D0C0A0E">
      <w:numFmt w:val="bullet"/>
      <w:lvlText w:val="•"/>
      <w:lvlJc w:val="left"/>
      <w:pPr>
        <w:ind w:left="1440" w:hanging="360"/>
      </w:pPr>
      <w:rPr>
        <w:rFonts w:ascii="MyriadPro-Light" w:eastAsia="Times" w:hAnsi="MyriadPro-Light" w:cs="MyriadPro-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D2F78F0"/>
    <w:multiLevelType w:val="hybridMultilevel"/>
    <w:tmpl w:val="BC580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2F7B04"/>
    <w:multiLevelType w:val="multilevel"/>
    <w:tmpl w:val="18E088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none"/>
      <w:lvlText w:val=""/>
      <w:lvlJc w:val="left"/>
      <w:pPr>
        <w:tabs>
          <w:tab w:val="num" w:pos="0"/>
        </w:tabs>
      </w:pPr>
      <w:rPr>
        <w:rFonts w:hint="default"/>
      </w:rPr>
    </w:lvl>
    <w:lvl w:ilvl="6">
      <w:start w:val="1"/>
      <w:numFmt w:val="none"/>
      <w:lvlText w:val=""/>
      <w:lvlJc w:val="left"/>
      <w:pPr>
        <w:tabs>
          <w:tab w:val="num" w:pos="0"/>
        </w:tabs>
      </w:pPr>
      <w:rPr>
        <w:rFonts w:hint="default"/>
      </w:rPr>
    </w:lvl>
    <w:lvl w:ilvl="7">
      <w:start w:val="1"/>
      <w:numFmt w:val="decimal"/>
      <w:lvlText w:val="%1.%2.%3.%4.%5.%6.%7.%8."/>
      <w:lvlJc w:val="left"/>
      <w:pPr>
        <w:tabs>
          <w:tab w:val="num" w:pos="15120"/>
        </w:tabs>
        <w:ind w:left="3744" w:hanging="1224"/>
      </w:pPr>
      <w:rPr>
        <w:rFonts w:hint="default"/>
      </w:rPr>
    </w:lvl>
    <w:lvl w:ilvl="8">
      <w:start w:val="1"/>
      <w:numFmt w:val="decimal"/>
      <w:lvlText w:val="%1.%2.%3.%4.%5.%6.%7.%8.%9."/>
      <w:lvlJc w:val="left"/>
      <w:pPr>
        <w:tabs>
          <w:tab w:val="num" w:pos="16920"/>
        </w:tabs>
        <w:ind w:left="4320" w:hanging="1440"/>
      </w:pPr>
      <w:rPr>
        <w:rFonts w:hint="default"/>
      </w:rPr>
    </w:lvl>
  </w:abstractNum>
  <w:abstractNum w:abstractNumId="29">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C29765C"/>
    <w:multiLevelType w:val="hybridMultilevel"/>
    <w:tmpl w:val="FA6823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C46602E"/>
    <w:multiLevelType w:val="hybridMultilevel"/>
    <w:tmpl w:val="1C2AF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7"/>
  </w:num>
  <w:num w:numId="3">
    <w:abstractNumId w:val="27"/>
  </w:num>
  <w:num w:numId="4">
    <w:abstractNumId w:val="22"/>
  </w:num>
  <w:num w:numId="5">
    <w:abstractNumId w:val="15"/>
  </w:num>
  <w:num w:numId="6">
    <w:abstractNumId w:val="7"/>
  </w:num>
  <w:num w:numId="7">
    <w:abstractNumId w:val="7"/>
  </w:num>
  <w:num w:numId="8">
    <w:abstractNumId w:val="28"/>
  </w:num>
  <w:num w:numId="9">
    <w:abstractNumId w:val="6"/>
  </w:num>
  <w:num w:numId="10">
    <w:abstractNumId w:val="3"/>
  </w:num>
  <w:num w:numId="11">
    <w:abstractNumId w:val="4"/>
  </w:num>
  <w:num w:numId="12">
    <w:abstractNumId w:val="16"/>
  </w:num>
  <w:num w:numId="13">
    <w:abstractNumId w:val="14"/>
  </w:num>
  <w:num w:numId="14">
    <w:abstractNumId w:val="11"/>
  </w:num>
  <w:num w:numId="15">
    <w:abstractNumId w:val="9"/>
  </w:num>
  <w:num w:numId="16">
    <w:abstractNumId w:val="5"/>
  </w:num>
  <w:num w:numId="17">
    <w:abstractNumId w:val="15"/>
  </w:num>
  <w:num w:numId="18">
    <w:abstractNumId w:val="31"/>
  </w:num>
  <w:num w:numId="19">
    <w:abstractNumId w:val="10"/>
  </w:num>
  <w:num w:numId="20">
    <w:abstractNumId w:val="26"/>
  </w:num>
  <w:num w:numId="21">
    <w:abstractNumId w:val="0"/>
  </w:num>
  <w:num w:numId="22">
    <w:abstractNumId w:val="18"/>
  </w:num>
  <w:num w:numId="23">
    <w:abstractNumId w:val="21"/>
  </w:num>
  <w:num w:numId="24">
    <w:abstractNumId w:val="20"/>
  </w:num>
  <w:num w:numId="25">
    <w:abstractNumId w:val="8"/>
  </w:num>
  <w:num w:numId="26">
    <w:abstractNumId w:val="30"/>
  </w:num>
  <w:num w:numId="27">
    <w:abstractNumId w:val="19"/>
  </w:num>
  <w:num w:numId="28">
    <w:abstractNumId w:val="23"/>
  </w:num>
  <w:num w:numId="29">
    <w:abstractNumId w:val="17"/>
  </w:num>
  <w:num w:numId="30">
    <w:abstractNumId w:val="25"/>
  </w:num>
  <w:num w:numId="31">
    <w:abstractNumId w:val="12"/>
  </w:num>
  <w:num w:numId="32">
    <w:abstractNumId w:val="15"/>
  </w:num>
  <w:num w:numId="33">
    <w:abstractNumId w:val="13"/>
  </w:num>
  <w:num w:numId="34">
    <w:abstractNumId w:val="1"/>
  </w:num>
  <w:num w:numId="35">
    <w:abstractNumId w:val="29"/>
  </w:num>
  <w:num w:numId="36">
    <w:abstractNumId w:val="2"/>
  </w:num>
  <w:num w:numId="37">
    <w:abstractNumId w:val="7"/>
  </w:num>
  <w:num w:numId="38">
    <w:abstractNumId w:val="7"/>
  </w:num>
  <w:num w:numId="39">
    <w:abstractNumId w:val="7"/>
  </w:num>
  <w:num w:numId="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L_doc_reference" w:val="Document Reference"/>
  </w:docVars>
  <w:rsids>
    <w:rsidRoot w:val="00D85C25"/>
    <w:rsid w:val="00001297"/>
    <w:rsid w:val="00001603"/>
    <w:rsid w:val="00006004"/>
    <w:rsid w:val="00015711"/>
    <w:rsid w:val="00021FE4"/>
    <w:rsid w:val="00030F59"/>
    <w:rsid w:val="000431F7"/>
    <w:rsid w:val="00050774"/>
    <w:rsid w:val="0006757E"/>
    <w:rsid w:val="0007083B"/>
    <w:rsid w:val="00073D38"/>
    <w:rsid w:val="0007572C"/>
    <w:rsid w:val="000836FC"/>
    <w:rsid w:val="00093D32"/>
    <w:rsid w:val="00095772"/>
    <w:rsid w:val="000A12A4"/>
    <w:rsid w:val="000A7D55"/>
    <w:rsid w:val="000B0571"/>
    <w:rsid w:val="000B6910"/>
    <w:rsid w:val="000B78DB"/>
    <w:rsid w:val="000B7E17"/>
    <w:rsid w:val="000C0C7E"/>
    <w:rsid w:val="000C1497"/>
    <w:rsid w:val="000C263A"/>
    <w:rsid w:val="000C5211"/>
    <w:rsid w:val="000C5A81"/>
    <w:rsid w:val="000F4572"/>
    <w:rsid w:val="000F52D7"/>
    <w:rsid w:val="000F568D"/>
    <w:rsid w:val="000F588A"/>
    <w:rsid w:val="000F610A"/>
    <w:rsid w:val="001053A0"/>
    <w:rsid w:val="0011350D"/>
    <w:rsid w:val="00122E99"/>
    <w:rsid w:val="0013203E"/>
    <w:rsid w:val="00142260"/>
    <w:rsid w:val="0014452A"/>
    <w:rsid w:val="001453CF"/>
    <w:rsid w:val="00160755"/>
    <w:rsid w:val="00162390"/>
    <w:rsid w:val="001910BE"/>
    <w:rsid w:val="001A55CC"/>
    <w:rsid w:val="001B1D62"/>
    <w:rsid w:val="001B3CCA"/>
    <w:rsid w:val="001C2BE8"/>
    <w:rsid w:val="001C7AEF"/>
    <w:rsid w:val="001D2913"/>
    <w:rsid w:val="001F412D"/>
    <w:rsid w:val="001F6AE8"/>
    <w:rsid w:val="00204FFD"/>
    <w:rsid w:val="00211716"/>
    <w:rsid w:val="00212803"/>
    <w:rsid w:val="00213655"/>
    <w:rsid w:val="00221F90"/>
    <w:rsid w:val="00232EBE"/>
    <w:rsid w:val="0023694E"/>
    <w:rsid w:val="002472EC"/>
    <w:rsid w:val="0024767E"/>
    <w:rsid w:val="00250835"/>
    <w:rsid w:val="00251042"/>
    <w:rsid w:val="00263DB0"/>
    <w:rsid w:val="00264807"/>
    <w:rsid w:val="00276D22"/>
    <w:rsid w:val="00286303"/>
    <w:rsid w:val="0029355A"/>
    <w:rsid w:val="002A4B59"/>
    <w:rsid w:val="002B0459"/>
    <w:rsid w:val="002B2DFB"/>
    <w:rsid w:val="002B47F1"/>
    <w:rsid w:val="002D64D8"/>
    <w:rsid w:val="00300CC8"/>
    <w:rsid w:val="00301899"/>
    <w:rsid w:val="003111EC"/>
    <w:rsid w:val="00311F3E"/>
    <w:rsid w:val="00315349"/>
    <w:rsid w:val="00324A44"/>
    <w:rsid w:val="00332B21"/>
    <w:rsid w:val="00333409"/>
    <w:rsid w:val="003369B2"/>
    <w:rsid w:val="00337ECA"/>
    <w:rsid w:val="00340108"/>
    <w:rsid w:val="0034109E"/>
    <w:rsid w:val="003555ED"/>
    <w:rsid w:val="00362A56"/>
    <w:rsid w:val="00365BDB"/>
    <w:rsid w:val="0036731B"/>
    <w:rsid w:val="00370935"/>
    <w:rsid w:val="00375EC1"/>
    <w:rsid w:val="00376602"/>
    <w:rsid w:val="00383F5E"/>
    <w:rsid w:val="00384216"/>
    <w:rsid w:val="003A16FC"/>
    <w:rsid w:val="003B7434"/>
    <w:rsid w:val="003C1734"/>
    <w:rsid w:val="003C2F7D"/>
    <w:rsid w:val="003C4CA6"/>
    <w:rsid w:val="003C7288"/>
    <w:rsid w:val="003D5776"/>
    <w:rsid w:val="003E60F0"/>
    <w:rsid w:val="003F74B5"/>
    <w:rsid w:val="00400722"/>
    <w:rsid w:val="00406E71"/>
    <w:rsid w:val="004119D6"/>
    <w:rsid w:val="00415B03"/>
    <w:rsid w:val="00425B80"/>
    <w:rsid w:val="0043130A"/>
    <w:rsid w:val="004365EC"/>
    <w:rsid w:val="00441DF8"/>
    <w:rsid w:val="00442EC9"/>
    <w:rsid w:val="00445349"/>
    <w:rsid w:val="0044608A"/>
    <w:rsid w:val="00451384"/>
    <w:rsid w:val="00453DC9"/>
    <w:rsid w:val="00453F97"/>
    <w:rsid w:val="00455C6F"/>
    <w:rsid w:val="0046251F"/>
    <w:rsid w:val="0046285C"/>
    <w:rsid w:val="00466205"/>
    <w:rsid w:val="004669FE"/>
    <w:rsid w:val="004701AD"/>
    <w:rsid w:val="00484E24"/>
    <w:rsid w:val="00486804"/>
    <w:rsid w:val="00493CAF"/>
    <w:rsid w:val="0049427E"/>
    <w:rsid w:val="004A0777"/>
    <w:rsid w:val="004A1261"/>
    <w:rsid w:val="004A1B23"/>
    <w:rsid w:val="004B1B20"/>
    <w:rsid w:val="004C1FE3"/>
    <w:rsid w:val="004D1E7E"/>
    <w:rsid w:val="004D6880"/>
    <w:rsid w:val="004E2833"/>
    <w:rsid w:val="004E2E95"/>
    <w:rsid w:val="004E43F2"/>
    <w:rsid w:val="004E662B"/>
    <w:rsid w:val="004F13BD"/>
    <w:rsid w:val="00511C94"/>
    <w:rsid w:val="00535185"/>
    <w:rsid w:val="005406F9"/>
    <w:rsid w:val="00557342"/>
    <w:rsid w:val="00581724"/>
    <w:rsid w:val="005953DF"/>
    <w:rsid w:val="005A4B49"/>
    <w:rsid w:val="005A7BB3"/>
    <w:rsid w:val="005B224F"/>
    <w:rsid w:val="005B2C59"/>
    <w:rsid w:val="005C12C6"/>
    <w:rsid w:val="005D21BC"/>
    <w:rsid w:val="005D7A60"/>
    <w:rsid w:val="005F22E1"/>
    <w:rsid w:val="005F5696"/>
    <w:rsid w:val="006105C5"/>
    <w:rsid w:val="006275E2"/>
    <w:rsid w:val="00633342"/>
    <w:rsid w:val="0064633E"/>
    <w:rsid w:val="0067205B"/>
    <w:rsid w:val="00672D14"/>
    <w:rsid w:val="00685A0F"/>
    <w:rsid w:val="006860F8"/>
    <w:rsid w:val="0069251D"/>
    <w:rsid w:val="006B0C5F"/>
    <w:rsid w:val="006B3EE8"/>
    <w:rsid w:val="006B644F"/>
    <w:rsid w:val="006B685E"/>
    <w:rsid w:val="006C10B4"/>
    <w:rsid w:val="006C49EC"/>
    <w:rsid w:val="006D2CAF"/>
    <w:rsid w:val="006E7731"/>
    <w:rsid w:val="006F011B"/>
    <w:rsid w:val="00703038"/>
    <w:rsid w:val="00707F4C"/>
    <w:rsid w:val="0071342F"/>
    <w:rsid w:val="00723E6B"/>
    <w:rsid w:val="0073273B"/>
    <w:rsid w:val="007341A4"/>
    <w:rsid w:val="00750230"/>
    <w:rsid w:val="00763F76"/>
    <w:rsid w:val="007727B0"/>
    <w:rsid w:val="00772EE2"/>
    <w:rsid w:val="00780C26"/>
    <w:rsid w:val="0078422B"/>
    <w:rsid w:val="007842D6"/>
    <w:rsid w:val="00784A69"/>
    <w:rsid w:val="00784FDA"/>
    <w:rsid w:val="00786D92"/>
    <w:rsid w:val="007948EA"/>
    <w:rsid w:val="007A05E7"/>
    <w:rsid w:val="007A2111"/>
    <w:rsid w:val="007B064A"/>
    <w:rsid w:val="007B5013"/>
    <w:rsid w:val="007C0ADD"/>
    <w:rsid w:val="007C6896"/>
    <w:rsid w:val="007E76D2"/>
    <w:rsid w:val="007F02AB"/>
    <w:rsid w:val="007F118F"/>
    <w:rsid w:val="007F52DA"/>
    <w:rsid w:val="00804AFC"/>
    <w:rsid w:val="008061E3"/>
    <w:rsid w:val="00812017"/>
    <w:rsid w:val="008160F1"/>
    <w:rsid w:val="008164B6"/>
    <w:rsid w:val="00823A75"/>
    <w:rsid w:val="00833B78"/>
    <w:rsid w:val="00850943"/>
    <w:rsid w:val="00856427"/>
    <w:rsid w:val="008764F4"/>
    <w:rsid w:val="00883CEC"/>
    <w:rsid w:val="00892B9E"/>
    <w:rsid w:val="00894B9F"/>
    <w:rsid w:val="008B3441"/>
    <w:rsid w:val="008B7B6D"/>
    <w:rsid w:val="008C4779"/>
    <w:rsid w:val="008C4C40"/>
    <w:rsid w:val="008D092E"/>
    <w:rsid w:val="008D31A9"/>
    <w:rsid w:val="008D366E"/>
    <w:rsid w:val="008E5956"/>
    <w:rsid w:val="008F34A6"/>
    <w:rsid w:val="008F4A91"/>
    <w:rsid w:val="008F645D"/>
    <w:rsid w:val="0090418B"/>
    <w:rsid w:val="00917CC9"/>
    <w:rsid w:val="00921D13"/>
    <w:rsid w:val="009220CF"/>
    <w:rsid w:val="009230E8"/>
    <w:rsid w:val="00923437"/>
    <w:rsid w:val="00947210"/>
    <w:rsid w:val="0094795F"/>
    <w:rsid w:val="00966731"/>
    <w:rsid w:val="0097460C"/>
    <w:rsid w:val="00976CA3"/>
    <w:rsid w:val="00981720"/>
    <w:rsid w:val="00984CA9"/>
    <w:rsid w:val="00992400"/>
    <w:rsid w:val="009B346A"/>
    <w:rsid w:val="009B6050"/>
    <w:rsid w:val="009C04F1"/>
    <w:rsid w:val="009C15FF"/>
    <w:rsid w:val="009C160B"/>
    <w:rsid w:val="009C1A13"/>
    <w:rsid w:val="009C4BFB"/>
    <w:rsid w:val="009D4119"/>
    <w:rsid w:val="009D48CE"/>
    <w:rsid w:val="009D53DE"/>
    <w:rsid w:val="009E357F"/>
    <w:rsid w:val="009F5654"/>
    <w:rsid w:val="009F594B"/>
    <w:rsid w:val="00A113AE"/>
    <w:rsid w:val="00A13273"/>
    <w:rsid w:val="00A14196"/>
    <w:rsid w:val="00A213AC"/>
    <w:rsid w:val="00A24116"/>
    <w:rsid w:val="00A24E38"/>
    <w:rsid w:val="00A25458"/>
    <w:rsid w:val="00A32E78"/>
    <w:rsid w:val="00A33884"/>
    <w:rsid w:val="00A4238A"/>
    <w:rsid w:val="00A43086"/>
    <w:rsid w:val="00A46786"/>
    <w:rsid w:val="00A4782A"/>
    <w:rsid w:val="00A50CC3"/>
    <w:rsid w:val="00A5162C"/>
    <w:rsid w:val="00A52BF8"/>
    <w:rsid w:val="00A55B1E"/>
    <w:rsid w:val="00A55DA9"/>
    <w:rsid w:val="00A62536"/>
    <w:rsid w:val="00A6545B"/>
    <w:rsid w:val="00A74855"/>
    <w:rsid w:val="00A756E2"/>
    <w:rsid w:val="00A767AB"/>
    <w:rsid w:val="00A80378"/>
    <w:rsid w:val="00A93EA0"/>
    <w:rsid w:val="00AA11BB"/>
    <w:rsid w:val="00AB679D"/>
    <w:rsid w:val="00AF42DC"/>
    <w:rsid w:val="00AF7E59"/>
    <w:rsid w:val="00B02F74"/>
    <w:rsid w:val="00B10142"/>
    <w:rsid w:val="00B116E4"/>
    <w:rsid w:val="00B24649"/>
    <w:rsid w:val="00B41EA1"/>
    <w:rsid w:val="00B43015"/>
    <w:rsid w:val="00B4647A"/>
    <w:rsid w:val="00B54666"/>
    <w:rsid w:val="00B57545"/>
    <w:rsid w:val="00B6003A"/>
    <w:rsid w:val="00B655D0"/>
    <w:rsid w:val="00B70813"/>
    <w:rsid w:val="00B745C8"/>
    <w:rsid w:val="00B84540"/>
    <w:rsid w:val="00B8469F"/>
    <w:rsid w:val="00B86A28"/>
    <w:rsid w:val="00B92200"/>
    <w:rsid w:val="00B93BE1"/>
    <w:rsid w:val="00BA5C45"/>
    <w:rsid w:val="00BB5D5A"/>
    <w:rsid w:val="00BD18E1"/>
    <w:rsid w:val="00BD24F7"/>
    <w:rsid w:val="00BD3173"/>
    <w:rsid w:val="00BE14CF"/>
    <w:rsid w:val="00BE5E16"/>
    <w:rsid w:val="00BE61B8"/>
    <w:rsid w:val="00BE7446"/>
    <w:rsid w:val="00C02A23"/>
    <w:rsid w:val="00C041CD"/>
    <w:rsid w:val="00C1648E"/>
    <w:rsid w:val="00C1648F"/>
    <w:rsid w:val="00C217D5"/>
    <w:rsid w:val="00C219D3"/>
    <w:rsid w:val="00C21AE2"/>
    <w:rsid w:val="00C241E2"/>
    <w:rsid w:val="00C25058"/>
    <w:rsid w:val="00C3021D"/>
    <w:rsid w:val="00C31655"/>
    <w:rsid w:val="00C32880"/>
    <w:rsid w:val="00C344B2"/>
    <w:rsid w:val="00C45816"/>
    <w:rsid w:val="00C46FD5"/>
    <w:rsid w:val="00C500F2"/>
    <w:rsid w:val="00C51E45"/>
    <w:rsid w:val="00C526A6"/>
    <w:rsid w:val="00C61E00"/>
    <w:rsid w:val="00C6509D"/>
    <w:rsid w:val="00C652C2"/>
    <w:rsid w:val="00C75979"/>
    <w:rsid w:val="00C8640A"/>
    <w:rsid w:val="00C939A0"/>
    <w:rsid w:val="00C95AE8"/>
    <w:rsid w:val="00CC6972"/>
    <w:rsid w:val="00CD1D9B"/>
    <w:rsid w:val="00CD77D2"/>
    <w:rsid w:val="00CE3535"/>
    <w:rsid w:val="00CF22C6"/>
    <w:rsid w:val="00D03A3C"/>
    <w:rsid w:val="00D06A1C"/>
    <w:rsid w:val="00D13A06"/>
    <w:rsid w:val="00D24C10"/>
    <w:rsid w:val="00D34C6C"/>
    <w:rsid w:val="00D465F4"/>
    <w:rsid w:val="00D46958"/>
    <w:rsid w:val="00D7161B"/>
    <w:rsid w:val="00D81207"/>
    <w:rsid w:val="00D829EB"/>
    <w:rsid w:val="00D8586B"/>
    <w:rsid w:val="00D85C25"/>
    <w:rsid w:val="00D91139"/>
    <w:rsid w:val="00D96C22"/>
    <w:rsid w:val="00DA10B3"/>
    <w:rsid w:val="00DB015A"/>
    <w:rsid w:val="00DB1D48"/>
    <w:rsid w:val="00DB5F4F"/>
    <w:rsid w:val="00DB7329"/>
    <w:rsid w:val="00DC3F8E"/>
    <w:rsid w:val="00DC4A77"/>
    <w:rsid w:val="00DC7854"/>
    <w:rsid w:val="00DD113C"/>
    <w:rsid w:val="00DD229B"/>
    <w:rsid w:val="00DD5A12"/>
    <w:rsid w:val="00DD73C9"/>
    <w:rsid w:val="00DE0D98"/>
    <w:rsid w:val="00DE5861"/>
    <w:rsid w:val="00DF0965"/>
    <w:rsid w:val="00E05689"/>
    <w:rsid w:val="00E15FF6"/>
    <w:rsid w:val="00E25D94"/>
    <w:rsid w:val="00E26428"/>
    <w:rsid w:val="00E33FE7"/>
    <w:rsid w:val="00E378EB"/>
    <w:rsid w:val="00E54574"/>
    <w:rsid w:val="00E56B6A"/>
    <w:rsid w:val="00E67303"/>
    <w:rsid w:val="00E735E5"/>
    <w:rsid w:val="00E90762"/>
    <w:rsid w:val="00E9237F"/>
    <w:rsid w:val="00E937DB"/>
    <w:rsid w:val="00E94417"/>
    <w:rsid w:val="00E94903"/>
    <w:rsid w:val="00E95EF2"/>
    <w:rsid w:val="00E95F0D"/>
    <w:rsid w:val="00E96E7A"/>
    <w:rsid w:val="00EA74F9"/>
    <w:rsid w:val="00EB593F"/>
    <w:rsid w:val="00EC26C6"/>
    <w:rsid w:val="00EC60FE"/>
    <w:rsid w:val="00EC7DE1"/>
    <w:rsid w:val="00EE34C9"/>
    <w:rsid w:val="00EF225E"/>
    <w:rsid w:val="00EF37DF"/>
    <w:rsid w:val="00EF6904"/>
    <w:rsid w:val="00F0184F"/>
    <w:rsid w:val="00F1002F"/>
    <w:rsid w:val="00F105A9"/>
    <w:rsid w:val="00F20399"/>
    <w:rsid w:val="00F2667D"/>
    <w:rsid w:val="00F4277C"/>
    <w:rsid w:val="00F62D46"/>
    <w:rsid w:val="00F65B35"/>
    <w:rsid w:val="00F7468B"/>
    <w:rsid w:val="00F96867"/>
    <w:rsid w:val="00FA0D87"/>
    <w:rsid w:val="00FA1036"/>
    <w:rsid w:val="00FC2D89"/>
    <w:rsid w:val="00FC6DA8"/>
    <w:rsid w:val="00FC6FB8"/>
    <w:rsid w:val="00FD0F4C"/>
    <w:rsid w:val="00FE5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5"/>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5"/>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5"/>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4CA9"/>
    <w:pPr>
      <w:ind w:left="-709"/>
    </w:pPr>
    <w:rPr>
      <w:rFonts w:ascii="Arial" w:hAnsi="Arial"/>
    </w:rPr>
  </w:style>
  <w:style w:type="paragraph" w:styleId="BodyText">
    <w:name w:val="Body Text"/>
    <w:basedOn w:val="Normal"/>
    <w:link w:val="BodyTextChar"/>
    <w:uiPriority w:val="99"/>
    <w:rsid w:val="00984CA9"/>
    <w:pPr>
      <w:ind w:right="-606"/>
    </w:pPr>
    <w:rPr>
      <w:rFonts w:ascii="Arial" w:hAnsi="Arial"/>
    </w:rPr>
  </w:style>
  <w:style w:type="paragraph" w:styleId="BodyText2">
    <w:name w:val="Body Text 2"/>
    <w:basedOn w:val="Normal"/>
    <w:rsid w:val="00984CA9"/>
    <w:pPr>
      <w:ind w:right="-747"/>
    </w:pPr>
    <w:rPr>
      <w:rFonts w:ascii="Arial" w:hAnsi="Arial"/>
    </w:rPr>
  </w:style>
  <w:style w:type="paragraph" w:styleId="Header">
    <w:name w:val="header"/>
    <w:basedOn w:val="Normal"/>
    <w:rsid w:val="00984CA9"/>
    <w:pPr>
      <w:tabs>
        <w:tab w:val="center" w:pos="4320"/>
        <w:tab w:val="right" w:pos="8640"/>
      </w:tabs>
    </w:pPr>
  </w:style>
  <w:style w:type="paragraph" w:styleId="Footer">
    <w:name w:val="footer"/>
    <w:basedOn w:val="Normal"/>
    <w:link w:val="FooterChar"/>
    <w:uiPriority w:val="99"/>
    <w:rsid w:val="00984CA9"/>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984CA9"/>
    <w:rPr>
      <w:color w:val="602767"/>
      <w:u w:val="none"/>
    </w:rPr>
  </w:style>
  <w:style w:type="paragraph" w:customStyle="1" w:styleId="NormalParagraphStyle">
    <w:name w:val="NormalParagraphStyle"/>
    <w:basedOn w:val="Normal"/>
    <w:rsid w:val="00984CA9"/>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984CA9"/>
    <w:rPr>
      <w:rFonts w:ascii="AkzidenzGroteskBE-Md" w:hAnsi="AkzidenzGroteskBE-Md"/>
      <w:sz w:val="19"/>
    </w:rPr>
  </w:style>
  <w:style w:type="paragraph" w:customStyle="1" w:styleId="BODY">
    <w:name w:val="BODY"/>
    <w:basedOn w:val="Normal"/>
    <w:rsid w:val="00984CA9"/>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2"/>
      </w:numPr>
      <w:spacing w:before="120"/>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3"/>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21"/>
      </w:numPr>
      <w:contextualSpacing/>
    </w:pPr>
  </w:style>
  <w:style w:type="character" w:styleId="CommentReference">
    <w:name w:val="annotation reference"/>
    <w:basedOn w:val="DefaultParagraphFont"/>
    <w:uiPriority w:val="99"/>
    <w:semiHidden/>
    <w:unhideWhenUsed/>
    <w:rsid w:val="005953DF"/>
    <w:rPr>
      <w:sz w:val="16"/>
      <w:szCs w:val="16"/>
    </w:rPr>
  </w:style>
  <w:style w:type="paragraph" w:styleId="CommentText">
    <w:name w:val="annotation text"/>
    <w:basedOn w:val="Normal"/>
    <w:link w:val="CommentTextChar"/>
    <w:uiPriority w:val="99"/>
    <w:semiHidden/>
    <w:unhideWhenUsed/>
    <w:rsid w:val="005953DF"/>
    <w:rPr>
      <w:sz w:val="20"/>
      <w:szCs w:val="20"/>
    </w:rPr>
  </w:style>
  <w:style w:type="character" w:customStyle="1" w:styleId="CommentTextChar">
    <w:name w:val="Comment Text Char"/>
    <w:basedOn w:val="DefaultParagraphFont"/>
    <w:link w:val="CommentText"/>
    <w:uiPriority w:val="99"/>
    <w:semiHidden/>
    <w:rsid w:val="005953DF"/>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5953DF"/>
    <w:rPr>
      <w:b/>
      <w:bCs/>
    </w:rPr>
  </w:style>
  <w:style w:type="character" w:customStyle="1" w:styleId="CommentSubjectChar">
    <w:name w:val="Comment Subject Char"/>
    <w:basedOn w:val="CommentTextChar"/>
    <w:link w:val="CommentSubject"/>
    <w:uiPriority w:val="99"/>
    <w:semiHidden/>
    <w:rsid w:val="005953DF"/>
    <w:rPr>
      <w:rFonts w:ascii="Times New Roman" w:eastAsia="Times New Roman" w:hAnsi="Times New Roman"/>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5"/>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5"/>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5"/>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4CA9"/>
    <w:pPr>
      <w:ind w:left="-709"/>
    </w:pPr>
    <w:rPr>
      <w:rFonts w:ascii="Arial" w:hAnsi="Arial"/>
    </w:rPr>
  </w:style>
  <w:style w:type="paragraph" w:styleId="BodyText">
    <w:name w:val="Body Text"/>
    <w:basedOn w:val="Normal"/>
    <w:link w:val="BodyTextChar"/>
    <w:uiPriority w:val="99"/>
    <w:rsid w:val="00984CA9"/>
    <w:pPr>
      <w:ind w:right="-606"/>
    </w:pPr>
    <w:rPr>
      <w:rFonts w:ascii="Arial" w:hAnsi="Arial"/>
    </w:rPr>
  </w:style>
  <w:style w:type="paragraph" w:styleId="BodyText2">
    <w:name w:val="Body Text 2"/>
    <w:basedOn w:val="Normal"/>
    <w:rsid w:val="00984CA9"/>
    <w:pPr>
      <w:ind w:right="-747"/>
    </w:pPr>
    <w:rPr>
      <w:rFonts w:ascii="Arial" w:hAnsi="Arial"/>
    </w:rPr>
  </w:style>
  <w:style w:type="paragraph" w:styleId="Header">
    <w:name w:val="header"/>
    <w:basedOn w:val="Normal"/>
    <w:rsid w:val="00984CA9"/>
    <w:pPr>
      <w:tabs>
        <w:tab w:val="center" w:pos="4320"/>
        <w:tab w:val="right" w:pos="8640"/>
      </w:tabs>
    </w:pPr>
  </w:style>
  <w:style w:type="paragraph" w:styleId="Footer">
    <w:name w:val="footer"/>
    <w:basedOn w:val="Normal"/>
    <w:link w:val="FooterChar"/>
    <w:uiPriority w:val="99"/>
    <w:rsid w:val="00984CA9"/>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984CA9"/>
    <w:rPr>
      <w:color w:val="602767"/>
      <w:u w:val="none"/>
    </w:rPr>
  </w:style>
  <w:style w:type="paragraph" w:customStyle="1" w:styleId="NormalParagraphStyle">
    <w:name w:val="NormalParagraphStyle"/>
    <w:basedOn w:val="Normal"/>
    <w:rsid w:val="00984CA9"/>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984CA9"/>
    <w:rPr>
      <w:rFonts w:ascii="AkzidenzGroteskBE-Md" w:hAnsi="AkzidenzGroteskBE-Md"/>
      <w:sz w:val="19"/>
    </w:rPr>
  </w:style>
  <w:style w:type="paragraph" w:customStyle="1" w:styleId="BODY">
    <w:name w:val="BODY"/>
    <w:basedOn w:val="Normal"/>
    <w:rsid w:val="00984CA9"/>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2"/>
      </w:numPr>
      <w:spacing w:before="120"/>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3"/>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21"/>
      </w:numPr>
      <w:contextualSpacing/>
    </w:pPr>
  </w:style>
  <w:style w:type="character" w:styleId="CommentReference">
    <w:name w:val="annotation reference"/>
    <w:basedOn w:val="DefaultParagraphFont"/>
    <w:uiPriority w:val="99"/>
    <w:semiHidden/>
    <w:unhideWhenUsed/>
    <w:rsid w:val="005953DF"/>
    <w:rPr>
      <w:sz w:val="16"/>
      <w:szCs w:val="16"/>
    </w:rPr>
  </w:style>
  <w:style w:type="paragraph" w:styleId="CommentText">
    <w:name w:val="annotation text"/>
    <w:basedOn w:val="Normal"/>
    <w:link w:val="CommentTextChar"/>
    <w:uiPriority w:val="99"/>
    <w:semiHidden/>
    <w:unhideWhenUsed/>
    <w:rsid w:val="005953DF"/>
    <w:rPr>
      <w:sz w:val="20"/>
      <w:szCs w:val="20"/>
    </w:rPr>
  </w:style>
  <w:style w:type="character" w:customStyle="1" w:styleId="CommentTextChar">
    <w:name w:val="Comment Text Char"/>
    <w:basedOn w:val="DefaultParagraphFont"/>
    <w:link w:val="CommentText"/>
    <w:uiPriority w:val="99"/>
    <w:semiHidden/>
    <w:rsid w:val="005953DF"/>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5953DF"/>
    <w:rPr>
      <w:b/>
      <w:bCs/>
    </w:rPr>
  </w:style>
  <w:style w:type="character" w:customStyle="1" w:styleId="CommentSubjectChar">
    <w:name w:val="Comment Subject Char"/>
    <w:basedOn w:val="CommentTextChar"/>
    <w:link w:val="CommentSubject"/>
    <w:uiPriority w:val="99"/>
    <w:semiHidden/>
    <w:rsid w:val="005953DF"/>
    <w:rPr>
      <w:rFonts w:ascii="Times New Roman" w:eastAsia="Times New Roman" w:hAnsi="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37">
      <w:bodyDiv w:val="1"/>
      <w:marLeft w:val="0"/>
      <w:marRight w:val="0"/>
      <w:marTop w:val="0"/>
      <w:marBottom w:val="0"/>
      <w:divBdr>
        <w:top w:val="none" w:sz="0" w:space="0" w:color="auto"/>
        <w:left w:val="none" w:sz="0" w:space="0" w:color="auto"/>
        <w:bottom w:val="none" w:sz="0" w:space="0" w:color="auto"/>
        <w:right w:val="none" w:sz="0" w:space="0" w:color="auto"/>
      </w:divBdr>
    </w:div>
    <w:div w:id="1061101495">
      <w:bodyDiv w:val="1"/>
      <w:marLeft w:val="0"/>
      <w:marRight w:val="0"/>
      <w:marTop w:val="0"/>
      <w:marBottom w:val="0"/>
      <w:divBdr>
        <w:top w:val="none" w:sz="0" w:space="0" w:color="auto"/>
        <w:left w:val="none" w:sz="0" w:space="0" w:color="auto"/>
        <w:bottom w:val="none" w:sz="0" w:space="0" w:color="auto"/>
        <w:right w:val="none" w:sz="0" w:space="0" w:color="auto"/>
      </w:divBdr>
      <w:divsChild>
        <w:div w:id="838695593">
          <w:marLeft w:val="0"/>
          <w:marRight w:val="0"/>
          <w:marTop w:val="0"/>
          <w:marBottom w:val="0"/>
          <w:divBdr>
            <w:top w:val="none" w:sz="0" w:space="0" w:color="auto"/>
            <w:left w:val="none" w:sz="0" w:space="0" w:color="auto"/>
            <w:bottom w:val="none" w:sz="0" w:space="0" w:color="auto"/>
            <w:right w:val="none" w:sz="0" w:space="0" w:color="auto"/>
          </w:divBdr>
        </w:div>
      </w:divsChild>
    </w:div>
    <w:div w:id="13033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yperlink" Target="http://www.unep.org/geo/geo4/media/" TargetMode="External"/><Relationship Id="rId3" Type="http://schemas.openxmlformats.org/officeDocument/2006/relationships/styles" Target="styles.xml"/><Relationship Id="rId21" Type="http://schemas.openxmlformats.org/officeDocument/2006/relationships/hyperlink" Target="http://www.mskills.com.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sustainabilityskills.net.au" TargetMode="External"/><Relationship Id="rId25" Type="http://schemas.openxmlformats.org/officeDocument/2006/relationships/hyperlink" Target="http://www.wri.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hyperlink" Target="http://www.sustainabilityskills.net.au" TargetMode="External"/><Relationship Id="rId29" Type="http://schemas.openxmlformats.org/officeDocument/2006/relationships/hyperlink" Target="http://hbr.org/search/sustainabil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etics.com.au/" TargetMode="External"/><Relationship Id="rId24" Type="http://schemas.openxmlformats.org/officeDocument/2006/relationships/hyperlink" Target="http://www.nftn.co.za/wp-content/uploads/2011/04/Vortrag-Wolf_Global-trends.pdf" TargetMode="External"/><Relationship Id="rId32" Type="http://schemas.openxmlformats.org/officeDocument/2006/relationships/hyperlink" Target="http://www.globalreporting.org/Home" TargetMode="Externa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yperlink" Target="http://eippcb.jrc.es/reference/BREF/sf_bref_0505.pdf" TargetMode="External"/><Relationship Id="rId28" Type="http://schemas.openxmlformats.org/officeDocument/2006/relationships/hyperlink" Target="http://hbr.org/" TargetMode="External"/><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hyperlink" Target="http://www.wbcs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yperlink" Target="http://afiaustralia.org/?page_id=726" TargetMode="External"/><Relationship Id="rId27" Type="http://schemas.openxmlformats.org/officeDocument/2006/relationships/hyperlink" Target="http://earthtrends.wri.org/" TargetMode="External"/><Relationship Id="rId30" Type="http://schemas.openxmlformats.org/officeDocument/2006/relationships/hyperlink" Target="http://sloanreview.mit.edu/sustainability/"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BPPP\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8F9D5-C736-4A33-AE46-48A1136B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Template.dotx</Template>
  <TotalTime>1</TotalTime>
  <Pages>13</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6</cp:revision>
  <cp:lastPrinted>2013-04-14T06:01:00Z</cp:lastPrinted>
  <dcterms:created xsi:type="dcterms:W3CDTF">2013-06-18T00:55:00Z</dcterms:created>
  <dcterms:modified xsi:type="dcterms:W3CDTF">2013-06-18T01:08:00Z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