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35" w:rsidRPr="00EB593F" w:rsidRDefault="001321CD" w:rsidP="00BB5D5A">
      <w:pPr>
        <w:jc w:val="right"/>
        <w:rPr>
          <w:rFonts w:asciiTheme="minorHAnsi" w:hAnsiTheme="minorHAnsi" w:cstheme="minorHAnsi"/>
          <w:sz w:val="22"/>
          <w:szCs w:val="22"/>
        </w:rPr>
      </w:pPr>
      <w:r>
        <w:rPr>
          <w:rFonts w:asciiTheme="minorHAnsi" w:hAnsiTheme="minorHAnsi" w:cstheme="minorHAnsi"/>
          <w:sz w:val="22"/>
          <w:szCs w:val="22"/>
        </w:rPr>
        <w:drawing>
          <wp:inline distT="0" distB="0" distL="0" distR="0" wp14:anchorId="17A0999A" wp14:editId="07315D79">
            <wp:extent cx="1905000" cy="1419225"/>
            <wp:effectExtent l="19050" t="0" r="0" b="0"/>
            <wp:docPr id="2"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8" cstate="print"/>
                    <a:stretch>
                      <a:fillRect/>
                    </a:stretch>
                  </pic:blipFill>
                  <pic:spPr>
                    <a:xfrm>
                      <a:off x="0" y="0"/>
                      <a:ext cx="1905000" cy="1419225"/>
                    </a:xfrm>
                    <a:prstGeom prst="rect">
                      <a:avLst/>
                    </a:prstGeom>
                  </pic:spPr>
                </pic:pic>
              </a:graphicData>
            </a:graphic>
          </wp:inline>
        </w:drawing>
      </w:r>
    </w:p>
    <w:p w:rsidR="00E1653F" w:rsidRPr="00A80D2D" w:rsidRDefault="00E1653F" w:rsidP="00A80D2D">
      <w:pPr>
        <w:rPr>
          <w:rFonts w:asciiTheme="minorHAnsi" w:hAnsiTheme="minorHAnsi" w:cstheme="minorHAnsi"/>
          <w:sz w:val="48"/>
          <w:szCs w:val="48"/>
        </w:rPr>
      </w:pPr>
      <w:r w:rsidRPr="00A80D2D">
        <w:rPr>
          <w:rFonts w:asciiTheme="minorHAnsi" w:hAnsiTheme="minorHAnsi" w:cstheme="minorHAnsi"/>
          <w:b/>
          <w:color w:val="5D0F68"/>
          <w:sz w:val="48"/>
          <w:szCs w:val="48"/>
        </w:rPr>
        <w:t xml:space="preserve">Embedding energy </w:t>
      </w:r>
      <w:r w:rsidR="007B199F" w:rsidRPr="00A80D2D">
        <w:rPr>
          <w:rFonts w:asciiTheme="minorHAnsi" w:hAnsiTheme="minorHAnsi" w:cstheme="minorHAnsi"/>
          <w:b/>
          <w:color w:val="5D0F68"/>
          <w:sz w:val="48"/>
          <w:szCs w:val="48"/>
        </w:rPr>
        <w:t>management</w:t>
      </w:r>
    </w:p>
    <w:p w:rsidR="008A7826" w:rsidRDefault="00E1653F" w:rsidP="00A80D2D">
      <w:pPr>
        <w:spacing w:before="480"/>
        <w:rPr>
          <w:rFonts w:asciiTheme="minorHAnsi" w:hAnsiTheme="minorHAnsi" w:cstheme="minorHAnsi"/>
          <w:b/>
          <w:sz w:val="48"/>
          <w:szCs w:val="48"/>
        </w:rPr>
      </w:pPr>
      <w:r w:rsidRPr="00A80D2D">
        <w:rPr>
          <w:rFonts w:asciiTheme="minorHAnsi" w:hAnsiTheme="minorHAnsi" w:cstheme="minorHAnsi"/>
          <w:b/>
          <w:sz w:val="48"/>
          <w:szCs w:val="48"/>
        </w:rPr>
        <w:t xml:space="preserve">Practice Guide </w:t>
      </w:r>
      <w:r w:rsidR="00A80D2D">
        <w:rPr>
          <w:rFonts w:asciiTheme="minorHAnsi" w:hAnsiTheme="minorHAnsi" w:cstheme="minorHAnsi"/>
          <w:b/>
          <w:sz w:val="48"/>
          <w:szCs w:val="48"/>
        </w:rPr>
        <w:t xml:space="preserve">– Module </w:t>
      </w:r>
      <w:r w:rsidRPr="00A80D2D">
        <w:rPr>
          <w:rFonts w:asciiTheme="minorHAnsi" w:hAnsiTheme="minorHAnsi" w:cstheme="minorHAnsi"/>
          <w:b/>
          <w:sz w:val="48"/>
          <w:szCs w:val="48"/>
        </w:rPr>
        <w:t>3:</w:t>
      </w:r>
      <w:r w:rsidR="00A80D2D">
        <w:rPr>
          <w:rFonts w:asciiTheme="minorHAnsi" w:hAnsiTheme="minorHAnsi" w:cstheme="minorHAnsi"/>
          <w:b/>
          <w:sz w:val="48"/>
          <w:szCs w:val="48"/>
        </w:rPr>
        <w:t xml:space="preserve"> </w:t>
      </w:r>
      <w:r w:rsidR="008A7826" w:rsidRPr="00A80D2D">
        <w:rPr>
          <w:rFonts w:asciiTheme="minorHAnsi" w:hAnsiTheme="minorHAnsi" w:cstheme="minorHAnsi"/>
          <w:b/>
          <w:sz w:val="48"/>
          <w:szCs w:val="48"/>
        </w:rPr>
        <w:t xml:space="preserve">Energy </w:t>
      </w:r>
      <w:r w:rsidR="00CA0AEA" w:rsidRPr="00A80D2D">
        <w:rPr>
          <w:rFonts w:asciiTheme="minorHAnsi" w:hAnsiTheme="minorHAnsi" w:cstheme="minorHAnsi"/>
          <w:b/>
          <w:sz w:val="48"/>
          <w:szCs w:val="48"/>
        </w:rPr>
        <w:t>p</w:t>
      </w:r>
      <w:r w:rsidR="008A7826" w:rsidRPr="00A80D2D">
        <w:rPr>
          <w:rFonts w:asciiTheme="minorHAnsi" w:hAnsiTheme="minorHAnsi" w:cstheme="minorHAnsi"/>
          <w:b/>
          <w:sz w:val="48"/>
          <w:szCs w:val="48"/>
        </w:rPr>
        <w:t xml:space="preserve">rocurement </w:t>
      </w:r>
    </w:p>
    <w:p w:rsidR="00A80D2D" w:rsidRDefault="00A80D2D" w:rsidP="00A80D2D"/>
    <w:p w:rsidR="001C6078" w:rsidRDefault="001C6078" w:rsidP="008A7826">
      <w:pPr>
        <w:rPr>
          <w:rFonts w:asciiTheme="minorHAnsi" w:hAnsiTheme="minorHAnsi" w:cstheme="minorHAnsi"/>
          <w:b/>
          <w:sz w:val="22"/>
          <w:szCs w:val="22"/>
        </w:rPr>
      </w:pPr>
    </w:p>
    <w:p w:rsidR="00A80D2D" w:rsidRPr="00A80D2D" w:rsidRDefault="00A80D2D" w:rsidP="00A80D2D">
      <w:pPr>
        <w:ind w:left="360" w:right="-12"/>
        <w:rPr>
          <w:rFonts w:ascii="Calibri" w:hAnsi="Calibri" w:cs="Calibri"/>
          <w:b/>
          <w:sz w:val="16"/>
          <w:szCs w:val="16"/>
        </w:rPr>
      </w:pPr>
    </w:p>
    <w:tbl>
      <w:tblPr>
        <w:tblW w:w="0" w:type="auto"/>
        <w:tblInd w:w="8722" w:type="dxa"/>
        <w:tblLook w:val="04A0" w:firstRow="1" w:lastRow="0" w:firstColumn="1" w:lastColumn="0" w:noHBand="0" w:noVBand="1"/>
      </w:tblPr>
      <w:tblGrid>
        <w:gridCol w:w="5420"/>
      </w:tblGrid>
      <w:tr w:rsidR="000C5B9E" w:rsidRPr="00211364" w:rsidTr="000C5B9E">
        <w:tc>
          <w:tcPr>
            <w:tcW w:w="5420" w:type="dxa"/>
          </w:tcPr>
          <w:p w:rsidR="000C5B9E" w:rsidRPr="00211364" w:rsidRDefault="000C5B9E" w:rsidP="00DE1E3D">
            <w:pPr>
              <w:ind w:left="2444" w:right="-12"/>
              <w:jc w:val="right"/>
              <w:rPr>
                <w:rFonts w:ascii="Calibri" w:hAnsi="Calibri" w:cs="Calibri"/>
                <w:sz w:val="20"/>
              </w:rPr>
            </w:pPr>
            <w:r>
              <w:rPr>
                <w:rFonts w:ascii="Calibri" w:hAnsi="Calibri" w:cs="Calibri"/>
                <w:szCs w:val="22"/>
              </w:rPr>
              <w:drawing>
                <wp:inline distT="0" distB="0" distL="0" distR="0" wp14:anchorId="0BDBAB19" wp14:editId="053FA425">
                  <wp:extent cx="904875" cy="533400"/>
                  <wp:effectExtent l="0" t="0" r="9525" b="0"/>
                  <wp:docPr id="3"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0C5B9E" w:rsidRPr="00211364" w:rsidTr="000C5B9E">
        <w:tc>
          <w:tcPr>
            <w:tcW w:w="5420" w:type="dxa"/>
          </w:tcPr>
          <w:p w:rsidR="000C5B9E" w:rsidRPr="00211364" w:rsidRDefault="000C5B9E" w:rsidP="00DE1E3D">
            <w:pPr>
              <w:ind w:left="34" w:right="-12"/>
              <w:jc w:val="right"/>
              <w:rPr>
                <w:rFonts w:ascii="Calibri" w:hAnsi="Calibri" w:cs="Calibri"/>
                <w:sz w:val="20"/>
              </w:rPr>
            </w:pPr>
            <w:r w:rsidRPr="00211364">
              <w:rPr>
                <w:rFonts w:ascii="Calibri" w:hAnsi="Calibri" w:cs="Calibri"/>
                <w:sz w:val="20"/>
              </w:rPr>
              <w:t xml:space="preserve">The material provided in this document has been produced in conjunction with our partner </w:t>
            </w:r>
            <w:hyperlink r:id="rId10" w:history="1">
              <w:r w:rsidRPr="00211364">
                <w:rPr>
                  <w:rFonts w:ascii="Calibri" w:hAnsi="Calibri" w:cs="Calibri"/>
                  <w:sz w:val="20"/>
                </w:rPr>
                <w:t>Energetics Pty Ltd</w:t>
              </w:r>
            </w:hyperlink>
            <w:r w:rsidRPr="00211364">
              <w:rPr>
                <w:rFonts w:ascii="Calibri" w:hAnsi="Calibri" w:cs="Calibri"/>
                <w:sz w:val="20"/>
              </w:rPr>
              <w:t>.</w:t>
            </w:r>
          </w:p>
        </w:tc>
      </w:tr>
    </w:tbl>
    <w:p w:rsidR="00A80D2D" w:rsidRPr="00A80D2D" w:rsidRDefault="00A80D2D" w:rsidP="00A80D2D">
      <w:pPr>
        <w:ind w:left="360" w:right="-12"/>
        <w:jc w:val="right"/>
        <w:rPr>
          <w:rFonts w:ascii="Calibri" w:eastAsia="Calibri" w:hAnsi="Calibri" w:cs="Calibri"/>
          <w:iCs/>
          <w:noProof w:val="0"/>
          <w:sz w:val="20"/>
        </w:rPr>
      </w:pPr>
    </w:p>
    <w:p w:rsidR="00A80D2D" w:rsidRPr="00A80D2D" w:rsidRDefault="00A80D2D" w:rsidP="00A80D2D">
      <w:pPr>
        <w:ind w:left="360" w:right="-12"/>
        <w:jc w:val="right"/>
        <w:rPr>
          <w:rFonts w:ascii="Calibri" w:eastAsia="Calibri" w:hAnsi="Calibri" w:cs="Calibri"/>
          <w:iCs/>
          <w:noProof w:val="0"/>
          <w:sz w:val="20"/>
          <w:szCs w:val="22"/>
        </w:rPr>
      </w:pPr>
      <w:r w:rsidRPr="00A80D2D">
        <w:rPr>
          <w:rFonts w:ascii="Calibri" w:eastAsia="Calibri" w:hAnsi="Calibri" w:cs="Calibri"/>
          <w:iCs/>
          <w:noProof w:val="0"/>
          <w:sz w:val="20"/>
          <w:szCs w:val="22"/>
        </w:rPr>
        <w:t>This publication was funded by the Australian Government</w:t>
      </w:r>
    </w:p>
    <w:p w:rsidR="00A80D2D" w:rsidRPr="00A80D2D" w:rsidRDefault="00A80D2D" w:rsidP="00A80D2D">
      <w:pPr>
        <w:ind w:left="360" w:right="-12"/>
        <w:jc w:val="right"/>
        <w:rPr>
          <w:rFonts w:ascii="Calibri" w:eastAsia="Calibri" w:hAnsi="Calibri" w:cs="Calibri"/>
          <w:noProof w:val="0"/>
          <w:sz w:val="20"/>
          <w:szCs w:val="22"/>
        </w:rPr>
      </w:pPr>
      <w:r w:rsidRPr="00A80D2D">
        <w:rPr>
          <w:rFonts w:ascii="Calibri" w:eastAsia="Calibri" w:hAnsi="Calibri" w:cs="Calibri"/>
          <w:iCs/>
          <w:noProof w:val="0"/>
          <w:sz w:val="20"/>
          <w:szCs w:val="22"/>
        </w:rPr>
        <w:t xml:space="preserve"> </w:t>
      </w:r>
      <w:proofErr w:type="gramStart"/>
      <w:r w:rsidRPr="00A80D2D">
        <w:rPr>
          <w:rFonts w:ascii="Calibri" w:eastAsia="Calibri" w:hAnsi="Calibri" w:cs="Calibri"/>
          <w:iCs/>
          <w:noProof w:val="0"/>
          <w:sz w:val="20"/>
          <w:szCs w:val="22"/>
        </w:rPr>
        <w:t>through</w:t>
      </w:r>
      <w:proofErr w:type="gramEnd"/>
      <w:r w:rsidRPr="00A80D2D">
        <w:rPr>
          <w:rFonts w:ascii="Calibri" w:eastAsia="Calibri" w:hAnsi="Calibri" w:cs="Calibri"/>
          <w:iCs/>
          <w:noProof w:val="0"/>
          <w:sz w:val="20"/>
          <w:szCs w:val="22"/>
        </w:rPr>
        <w:t xml:space="preserve"> the Workforce Innovation Program under the title '</w:t>
      </w:r>
      <w:proofErr w:type="spellStart"/>
      <w:r w:rsidRPr="00A80D2D">
        <w:rPr>
          <w:rFonts w:ascii="Calibri" w:eastAsia="Calibri" w:hAnsi="Calibri" w:cs="Calibri"/>
          <w:iCs/>
          <w:noProof w:val="0"/>
          <w:sz w:val="20"/>
          <w:szCs w:val="22"/>
        </w:rPr>
        <w:t>Carbonproof</w:t>
      </w:r>
      <w:proofErr w:type="spellEnd"/>
      <w:r w:rsidRPr="00A80D2D">
        <w:rPr>
          <w:rFonts w:ascii="Calibri" w:eastAsia="Calibri" w:hAnsi="Calibri" w:cs="Calibri"/>
          <w:iCs/>
          <w:noProof w:val="0"/>
          <w:sz w:val="20"/>
          <w:szCs w:val="22"/>
        </w:rPr>
        <w:t xml:space="preserve"> for Foundries'</w:t>
      </w:r>
      <w:r w:rsidRPr="00A80D2D">
        <w:rPr>
          <w:rFonts w:ascii="Calibri" w:eastAsia="Calibri" w:hAnsi="Calibri" w:cs="Calibri"/>
          <w:noProof w:val="0"/>
          <w:sz w:val="20"/>
          <w:szCs w:val="22"/>
        </w:rPr>
        <w:t>.</w:t>
      </w:r>
    </w:p>
    <w:p w:rsidR="00A80D2D" w:rsidRPr="00A80D2D" w:rsidRDefault="00A80D2D" w:rsidP="00A80D2D">
      <w:pPr>
        <w:ind w:left="360" w:right="-12"/>
        <w:jc w:val="right"/>
        <w:rPr>
          <w:rFonts w:ascii="Calibri" w:eastAsia="Calibri" w:hAnsi="Calibri" w:cs="Calibri"/>
          <w:noProof w:val="0"/>
          <w:sz w:val="20"/>
          <w:szCs w:val="22"/>
        </w:rPr>
      </w:pPr>
    </w:p>
    <w:p w:rsidR="00A80D2D" w:rsidRPr="00A80D2D" w:rsidRDefault="00A80D2D" w:rsidP="00A80D2D">
      <w:pPr>
        <w:ind w:left="360" w:right="-12"/>
        <w:jc w:val="right"/>
        <w:rPr>
          <w:rFonts w:ascii="Calibri" w:eastAsia="Calibri" w:hAnsi="Calibri" w:cs="Calibri"/>
          <w:b/>
          <w:iCs/>
          <w:noProof w:val="0"/>
          <w:sz w:val="20"/>
          <w:szCs w:val="22"/>
        </w:rPr>
      </w:pPr>
      <w:r w:rsidRPr="00A80D2D">
        <w:rPr>
          <w:rFonts w:ascii="Calibri" w:eastAsia="Calibri" w:hAnsi="Calibri" w:cs="Calibri"/>
          <w:b/>
          <w:iCs/>
          <w:noProof w:val="0"/>
          <w:sz w:val="20"/>
          <w:szCs w:val="22"/>
        </w:rPr>
        <w:t>Embedding Energy Management is available from</w:t>
      </w:r>
      <w:r w:rsidRPr="00A80D2D">
        <w:rPr>
          <w:rFonts w:ascii="Calibri" w:eastAsia="Calibri" w:hAnsi="Calibri" w:cs="Calibri"/>
          <w:iCs/>
          <w:noProof w:val="0"/>
          <w:sz w:val="20"/>
          <w:szCs w:val="22"/>
        </w:rPr>
        <w:t xml:space="preserve"> </w:t>
      </w:r>
      <w:r w:rsidRPr="00A80D2D">
        <w:rPr>
          <w:rFonts w:ascii="Calibri" w:eastAsia="Calibri" w:hAnsi="Calibri" w:cs="Calibri"/>
          <w:b/>
          <w:iCs/>
          <w:noProof w:val="0"/>
          <w:sz w:val="20"/>
          <w:szCs w:val="22"/>
        </w:rPr>
        <w:t>www.sustainabilityskills.net.au</w:t>
      </w:r>
    </w:p>
    <w:p w:rsidR="00A80D2D" w:rsidRPr="00A80D2D" w:rsidRDefault="00A80D2D" w:rsidP="00A80D2D">
      <w:pPr>
        <w:ind w:left="360" w:right="-12"/>
        <w:jc w:val="right"/>
        <w:rPr>
          <w:rFonts w:ascii="Calibri" w:eastAsia="Calibri" w:hAnsi="Calibri" w:cs="Calibri"/>
          <w:noProof w:val="0"/>
          <w:sz w:val="20"/>
          <w:szCs w:val="22"/>
        </w:rPr>
      </w:pPr>
    </w:p>
    <w:p w:rsidR="00BD7286" w:rsidRDefault="00BD7286">
      <w:pPr>
        <w:rPr>
          <w:rFonts w:asciiTheme="minorHAnsi" w:hAnsiTheme="minorHAnsi" w:cstheme="minorHAnsi"/>
          <w:b/>
          <w:color w:val="5D0F68"/>
          <w:sz w:val="28"/>
          <w:szCs w:val="22"/>
        </w:rPr>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0C5B9E" w:rsidRPr="00376901" w:rsidTr="00DE1E3D">
        <w:trPr>
          <w:trHeight w:val="1178"/>
        </w:trPr>
        <w:tc>
          <w:tcPr>
            <w:tcW w:w="2130" w:type="dxa"/>
          </w:tcPr>
          <w:p w:rsidR="000C5B9E" w:rsidRPr="009B2FDA" w:rsidRDefault="000C5B9E" w:rsidP="00DE1E3D">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1" o:title=""/>
                </v:shape>
                <o:OLEObject Type="Embed" ProgID="PBrush" ShapeID="_x0000_i1025" DrawAspect="Content" ObjectID="_1433837402" r:id="rId12"/>
              </w:object>
            </w:r>
          </w:p>
        </w:tc>
        <w:tc>
          <w:tcPr>
            <w:tcW w:w="6425" w:type="dxa"/>
            <w:shd w:val="clear" w:color="auto" w:fill="auto"/>
            <w:vAlign w:val="center"/>
          </w:tcPr>
          <w:p w:rsidR="000C5B9E" w:rsidRPr="009B2FDA" w:rsidRDefault="000C5B9E" w:rsidP="00DE1E3D">
            <w:pPr>
              <w:widowControl w:val="0"/>
              <w:autoSpaceDE w:val="0"/>
              <w:autoSpaceDN w:val="0"/>
              <w:adjustRightInd w:val="0"/>
              <w:jc w:val="center"/>
              <w:rPr>
                <w:b/>
              </w:rPr>
            </w:pPr>
            <w:r w:rsidRPr="009B2FDA">
              <w:rPr>
                <w:b/>
              </w:rPr>
              <w:t>Free for Education Copying</w:t>
            </w:r>
          </w:p>
          <w:p w:rsidR="000C5B9E" w:rsidRPr="009B2FDA" w:rsidRDefault="00F07D1A" w:rsidP="00DE1E3D">
            <w:pPr>
              <w:widowControl w:val="0"/>
              <w:autoSpaceDE w:val="0"/>
              <w:autoSpaceDN w:val="0"/>
              <w:adjustRightInd w:val="0"/>
              <w:spacing w:line="360" w:lineRule="auto"/>
              <w:jc w:val="center"/>
              <w:rPr>
                <w:b/>
                <w:i/>
              </w:rPr>
            </w:pPr>
            <w:hyperlink r:id="rId13" w:history="1">
              <w:r w:rsidR="000C5B9E" w:rsidRPr="009B2FDA">
                <w:rPr>
                  <w:rStyle w:val="Hyperlink"/>
                  <w:b w:val="0"/>
                  <w:color w:val="0000CC"/>
                </w:rPr>
                <w:t>www.mskills.com.au</w:t>
              </w:r>
            </w:hyperlink>
          </w:p>
        </w:tc>
      </w:tr>
    </w:tbl>
    <w:p w:rsidR="000C5B9E" w:rsidRPr="00376901" w:rsidRDefault="000C5B9E" w:rsidP="000C5B9E">
      <w:pPr>
        <w:autoSpaceDE w:val="0"/>
        <w:autoSpaceDN w:val="0"/>
        <w:adjustRightInd w:val="0"/>
        <w:jc w:val="both"/>
        <w:rPr>
          <w:color w:val="000000"/>
          <w:sz w:val="16"/>
          <w:szCs w:val="16"/>
        </w:rPr>
      </w:pP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copyright and licensed under the MSA Free for Education Copying instant licence (MSA Licence). </w:t>
      </w: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0C5B9E" w:rsidRPr="000F4572" w:rsidRDefault="000C5B9E" w:rsidP="000C5B9E">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Individual learners may:</w:t>
      </w:r>
    </w:p>
    <w:p w:rsidR="000C5B9E" w:rsidRPr="000F4572" w:rsidRDefault="000C5B9E" w:rsidP="000C5B9E">
      <w:pPr>
        <w:pStyle w:val="ListParagraph"/>
        <w:numPr>
          <w:ilvl w:val="0"/>
          <w:numId w:val="22"/>
        </w:numPr>
        <w:autoSpaceDE w:val="0"/>
        <w:autoSpaceDN w:val="0"/>
        <w:adjustRightInd w:val="0"/>
        <w:spacing w:before="0"/>
        <w:contextualSpacing/>
        <w:jc w:val="both"/>
        <w:rPr>
          <w:color w:val="000000"/>
          <w:sz w:val="16"/>
          <w:szCs w:val="16"/>
        </w:rPr>
      </w:pPr>
      <w:r w:rsidRPr="000F4572">
        <w:rPr>
          <w:color w:val="000000"/>
          <w:sz w:val="16"/>
          <w:szCs w:val="16"/>
        </w:rPr>
        <w:t>use the material personally for their education such as including it, with proper attribution, in work that is performed in the course of that education; and</w:t>
      </w:r>
    </w:p>
    <w:p w:rsidR="000C5B9E" w:rsidRPr="000F4572" w:rsidRDefault="000C5B9E" w:rsidP="000C5B9E">
      <w:pPr>
        <w:pStyle w:val="ListParagraph"/>
        <w:numPr>
          <w:ilvl w:val="0"/>
          <w:numId w:val="22"/>
        </w:numPr>
        <w:autoSpaceDE w:val="0"/>
        <w:autoSpaceDN w:val="0"/>
        <w:adjustRightInd w:val="0"/>
        <w:spacing w:before="0"/>
        <w:contextualSpacing/>
        <w:jc w:val="both"/>
        <w:rPr>
          <w:color w:val="000000"/>
          <w:sz w:val="16"/>
          <w:szCs w:val="16"/>
        </w:rPr>
      </w:pPr>
      <w:r w:rsidRPr="000F4572">
        <w:rPr>
          <w:color w:val="000000"/>
          <w:sz w:val="16"/>
          <w:szCs w:val="16"/>
        </w:rPr>
        <w:t>make unlimited copies, in whole or in part, of the material.</w:t>
      </w:r>
      <w:r w:rsidRPr="000F4572">
        <w:rPr>
          <w:sz w:val="16"/>
          <w:szCs w:val="16"/>
          <w:lang w:val="en-US"/>
        </w:rPr>
        <w:t xml:space="preserve"> </w:t>
      </w:r>
    </w:p>
    <w:p w:rsidR="000C5B9E" w:rsidRPr="000F4572" w:rsidRDefault="000C5B9E" w:rsidP="000C5B9E">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Education Providers or Other Organisations may:</w:t>
      </w:r>
    </w:p>
    <w:p w:rsidR="000C5B9E" w:rsidRPr="000F4572" w:rsidRDefault="000C5B9E" w:rsidP="000C5B9E">
      <w:pPr>
        <w:pStyle w:val="ListParagraph"/>
        <w:numPr>
          <w:ilvl w:val="0"/>
          <w:numId w:val="23"/>
        </w:numPr>
        <w:autoSpaceDE w:val="0"/>
        <w:autoSpaceDN w:val="0"/>
        <w:adjustRightInd w:val="0"/>
        <w:spacing w:before="0"/>
        <w:contextualSpacing/>
        <w:jc w:val="both"/>
        <w:rPr>
          <w:color w:val="000000"/>
          <w:sz w:val="16"/>
          <w:szCs w:val="16"/>
        </w:rPr>
      </w:pPr>
      <w:r w:rsidRPr="000F4572">
        <w:rPr>
          <w:color w:val="000000"/>
          <w:sz w:val="16"/>
          <w:szCs w:val="16"/>
        </w:rPr>
        <w:t>use the material within the organisation or for the services provided by the organisation;</w:t>
      </w:r>
    </w:p>
    <w:p w:rsidR="000C5B9E" w:rsidRPr="000F4572" w:rsidRDefault="000C5B9E" w:rsidP="000C5B9E">
      <w:pPr>
        <w:pStyle w:val="ListParagraph"/>
        <w:numPr>
          <w:ilvl w:val="0"/>
          <w:numId w:val="23"/>
        </w:numPr>
        <w:autoSpaceDE w:val="0"/>
        <w:autoSpaceDN w:val="0"/>
        <w:adjustRightInd w:val="0"/>
        <w:spacing w:before="0"/>
        <w:contextualSpacing/>
        <w:jc w:val="both"/>
        <w:rPr>
          <w:color w:val="000000"/>
          <w:sz w:val="16"/>
          <w:szCs w:val="16"/>
        </w:rPr>
      </w:pPr>
      <w:r w:rsidRPr="000F4572">
        <w:rPr>
          <w:color w:val="000000"/>
          <w:sz w:val="16"/>
          <w:szCs w:val="16"/>
        </w:rPr>
        <w:t>make or give copies to learners;</w:t>
      </w:r>
    </w:p>
    <w:p w:rsidR="000C5B9E" w:rsidRPr="000F4572" w:rsidRDefault="000C5B9E" w:rsidP="000C5B9E">
      <w:pPr>
        <w:pStyle w:val="ListParagraph"/>
        <w:numPr>
          <w:ilvl w:val="0"/>
          <w:numId w:val="23"/>
        </w:numPr>
        <w:autoSpaceDE w:val="0"/>
        <w:autoSpaceDN w:val="0"/>
        <w:adjustRightInd w:val="0"/>
        <w:spacing w:before="0"/>
        <w:contextualSpacing/>
        <w:jc w:val="both"/>
        <w:rPr>
          <w:color w:val="000000"/>
          <w:sz w:val="16"/>
          <w:szCs w:val="16"/>
        </w:rPr>
      </w:pPr>
      <w:r w:rsidRPr="000F4572">
        <w:rPr>
          <w:color w:val="000000"/>
          <w:sz w:val="16"/>
          <w:szCs w:val="16"/>
        </w:rPr>
        <w:t>charge for the education provided; and</w:t>
      </w:r>
    </w:p>
    <w:p w:rsidR="000C5B9E" w:rsidRPr="000F4572" w:rsidRDefault="000C5B9E" w:rsidP="000C5B9E">
      <w:pPr>
        <w:pStyle w:val="ListParagraph"/>
        <w:numPr>
          <w:ilvl w:val="0"/>
          <w:numId w:val="23"/>
        </w:numPr>
        <w:autoSpaceDE w:val="0"/>
        <w:autoSpaceDN w:val="0"/>
        <w:adjustRightInd w:val="0"/>
        <w:spacing w:before="0"/>
        <w:contextualSpacing/>
        <w:jc w:val="both"/>
        <w:rPr>
          <w:color w:val="000000"/>
          <w:sz w:val="16"/>
          <w:szCs w:val="16"/>
        </w:rPr>
      </w:pPr>
      <w:r w:rsidRPr="000F4572">
        <w:rPr>
          <w:color w:val="000000"/>
          <w:sz w:val="16"/>
          <w:szCs w:val="16"/>
        </w:rPr>
        <w:t>charge learners for the material on a cost-recovery basis.</w:t>
      </w: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Queries regarding the MSA Licence conditions should be directed through the MSA website at </w:t>
      </w:r>
      <w:hyperlink r:id="rId14" w:history="1">
        <w:r w:rsidRPr="000F4572">
          <w:rPr>
            <w:rStyle w:val="Hyperlink"/>
            <w:sz w:val="16"/>
            <w:szCs w:val="16"/>
          </w:rPr>
          <w:t>www.mskills.com.au</w:t>
        </w:r>
      </w:hyperlink>
      <w:r w:rsidRPr="000F4572">
        <w:rPr>
          <w:rFonts w:asciiTheme="minorHAnsi" w:hAnsiTheme="minorHAnsi"/>
          <w:color w:val="000000"/>
          <w:sz w:val="16"/>
          <w:szCs w:val="16"/>
        </w:rPr>
        <w:t xml:space="preserve"> </w:t>
      </w: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In addition to the standard MSA Licence conditions, the following </w:t>
      </w:r>
      <w:r w:rsidRPr="000F4572">
        <w:rPr>
          <w:rFonts w:asciiTheme="minorHAnsi" w:hAnsiTheme="minorHAnsi"/>
          <w:b/>
          <w:bCs/>
          <w:color w:val="000000"/>
          <w:sz w:val="16"/>
          <w:szCs w:val="16"/>
        </w:rPr>
        <w:t xml:space="preserve">special conditions </w:t>
      </w:r>
      <w:r w:rsidRPr="000F4572">
        <w:rPr>
          <w:rFonts w:asciiTheme="minorHAnsi" w:hAnsiTheme="minorHAnsi"/>
          <w:color w:val="000000"/>
          <w:sz w:val="16"/>
          <w:szCs w:val="16"/>
        </w:rPr>
        <w:t>apply:</w:t>
      </w:r>
    </w:p>
    <w:p w:rsidR="000C5B9E" w:rsidRPr="000F4572" w:rsidRDefault="000C5B9E" w:rsidP="000C5B9E">
      <w:pPr>
        <w:pStyle w:val="ListParagraph"/>
        <w:numPr>
          <w:ilvl w:val="0"/>
          <w:numId w:val="24"/>
        </w:numPr>
        <w:autoSpaceDE w:val="0"/>
        <w:autoSpaceDN w:val="0"/>
        <w:adjustRightInd w:val="0"/>
        <w:spacing w:before="0"/>
        <w:contextualSpacing/>
        <w:jc w:val="both"/>
        <w:rPr>
          <w:color w:val="000000"/>
          <w:sz w:val="16"/>
          <w:szCs w:val="16"/>
        </w:rPr>
      </w:pPr>
      <w:r w:rsidRPr="000F4572">
        <w:rPr>
          <w:color w:val="000000"/>
          <w:sz w:val="16"/>
          <w:szCs w:val="16"/>
        </w:rPr>
        <w:t>Territory: The copyright work must only be used in Australia and New Zealand.</w:t>
      </w:r>
    </w:p>
    <w:p w:rsidR="000C5B9E" w:rsidRPr="000F4572" w:rsidRDefault="000C5B9E" w:rsidP="000C5B9E">
      <w:pPr>
        <w:pStyle w:val="ListParagraph"/>
        <w:numPr>
          <w:ilvl w:val="0"/>
          <w:numId w:val="24"/>
        </w:numPr>
        <w:autoSpaceDE w:val="0"/>
        <w:autoSpaceDN w:val="0"/>
        <w:adjustRightInd w:val="0"/>
        <w:spacing w:before="0"/>
        <w:contextualSpacing/>
        <w:jc w:val="both"/>
        <w:rPr>
          <w:color w:val="000000"/>
          <w:sz w:val="16"/>
          <w:szCs w:val="16"/>
        </w:rPr>
      </w:pPr>
      <w:r w:rsidRPr="000F4572">
        <w:rPr>
          <w:color w:val="000000"/>
          <w:sz w:val="16"/>
          <w:szCs w:val="16"/>
        </w:rPr>
        <w:t>Development Rights: Licensees are permitted to develop either an Edited Version or Enhancements of the Licensed Material for individual organisation purposes.</w:t>
      </w:r>
    </w:p>
    <w:p w:rsidR="000C5B9E" w:rsidRPr="000F4572" w:rsidRDefault="000C5B9E" w:rsidP="000C5B9E">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Disclaimer</w:t>
      </w: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0C5B9E" w:rsidRPr="000F4572"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0C5B9E" w:rsidRDefault="000C5B9E" w:rsidP="000C5B9E">
      <w:pPr>
        <w:autoSpaceDE w:val="0"/>
        <w:autoSpaceDN w:val="0"/>
        <w:adjustRightInd w:val="0"/>
        <w:jc w:val="both"/>
        <w:rPr>
          <w:rFonts w:asciiTheme="minorHAnsi" w:hAnsiTheme="minorHAnsi"/>
          <w:color w:val="000000"/>
          <w:sz w:val="16"/>
          <w:szCs w:val="16"/>
        </w:rPr>
      </w:pPr>
      <w:r w:rsidRPr="000F4572">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0F4572">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0C5B9E" w:rsidRPr="000F4572" w:rsidRDefault="000C5B9E" w:rsidP="000C5B9E">
      <w:pPr>
        <w:autoSpaceDE w:val="0"/>
        <w:autoSpaceDN w:val="0"/>
        <w:adjustRightInd w:val="0"/>
        <w:jc w:val="both"/>
        <w:rPr>
          <w:rFonts w:asciiTheme="minorHAnsi" w:hAnsiTheme="minorHAnsi"/>
          <w:color w:val="000000"/>
          <w:sz w:val="16"/>
          <w:szCs w:val="16"/>
        </w:rPr>
      </w:pPr>
    </w:p>
    <w:p w:rsidR="000C5B9E" w:rsidRPr="000F4572" w:rsidRDefault="000C5B9E" w:rsidP="000C5B9E">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Published by:</w:t>
      </w:r>
    </w:p>
    <w:tbl>
      <w:tblPr>
        <w:tblW w:w="0" w:type="auto"/>
        <w:tblLook w:val="04A0" w:firstRow="1" w:lastRow="0" w:firstColumn="1" w:lastColumn="0" w:noHBand="0" w:noVBand="1"/>
      </w:tblPr>
      <w:tblGrid>
        <w:gridCol w:w="7479"/>
      </w:tblGrid>
      <w:tr w:rsidR="000C5B9E" w:rsidRPr="000F4572" w:rsidTr="00DE1E3D">
        <w:tc>
          <w:tcPr>
            <w:tcW w:w="7479" w:type="dxa"/>
          </w:tcPr>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Manufacturing Skills Australia</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Level 3, 104 Mount Street</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North Sydney NSW 2060</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ABN:</w:t>
            </w:r>
            <w:r w:rsidRPr="000F4572">
              <w:rPr>
                <w:rFonts w:asciiTheme="minorHAnsi" w:hAnsiTheme="minorHAnsi"/>
                <w:i/>
                <w:sz w:val="16"/>
                <w:szCs w:val="16"/>
              </w:rPr>
              <w:t xml:space="preserve"> </w:t>
            </w:r>
            <w:r w:rsidRPr="000F4572">
              <w:rPr>
                <w:rFonts w:asciiTheme="minorHAnsi" w:hAnsiTheme="minorHAnsi"/>
                <w:sz w:val="16"/>
                <w:szCs w:val="16"/>
              </w:rPr>
              <w:t>88 006 441 685</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Phone: (02) 9955 5500</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Fax: (02) 9955 8044</w:t>
            </w:r>
          </w:p>
          <w:p w:rsidR="000C5B9E" w:rsidRPr="000F4572" w:rsidRDefault="000C5B9E" w:rsidP="00DE1E3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 xml:space="preserve">Website: </w:t>
            </w:r>
            <w:hyperlink r:id="rId15" w:history="1">
              <w:r w:rsidRPr="000F4572">
                <w:rPr>
                  <w:rStyle w:val="Hyperlink"/>
                  <w:sz w:val="16"/>
                  <w:szCs w:val="16"/>
                </w:rPr>
                <w:t>http://www.mskills.com.au</w:t>
              </w:r>
            </w:hyperlink>
            <w:r w:rsidRPr="000F4572">
              <w:rPr>
                <w:rFonts w:asciiTheme="minorHAnsi" w:hAnsiTheme="minorHAnsi"/>
                <w:color w:val="000000"/>
                <w:sz w:val="16"/>
                <w:szCs w:val="16"/>
              </w:rPr>
              <w:t xml:space="preserve"> </w:t>
            </w:r>
          </w:p>
          <w:p w:rsidR="000C5B9E" w:rsidRPr="000F4572" w:rsidRDefault="000C5B9E" w:rsidP="00DE1E3D">
            <w:pPr>
              <w:autoSpaceDE w:val="0"/>
              <w:autoSpaceDN w:val="0"/>
              <w:adjustRightInd w:val="0"/>
              <w:rPr>
                <w:rFonts w:asciiTheme="minorHAnsi" w:hAnsiTheme="minorHAnsi"/>
                <w:color w:val="000000"/>
                <w:sz w:val="16"/>
                <w:szCs w:val="16"/>
              </w:rPr>
            </w:pPr>
          </w:p>
          <w:p w:rsidR="000C5B9E" w:rsidRPr="000F4572" w:rsidRDefault="000C5B9E" w:rsidP="00DE1E3D">
            <w:pPr>
              <w:autoSpaceDE w:val="0"/>
              <w:autoSpaceDN w:val="0"/>
              <w:adjustRightInd w:val="0"/>
              <w:rPr>
                <w:rFonts w:asciiTheme="minorHAnsi" w:hAnsiTheme="minorHAnsi"/>
                <w:sz w:val="16"/>
                <w:szCs w:val="16"/>
              </w:rPr>
            </w:pPr>
            <w:r w:rsidRPr="000F4572">
              <w:rPr>
                <w:rFonts w:asciiTheme="minorHAnsi" w:hAnsiTheme="minorHAnsi"/>
                <w:color w:val="000000"/>
                <w:sz w:val="16"/>
                <w:szCs w:val="16"/>
              </w:rPr>
              <w:t>First published: 2013</w:t>
            </w:r>
          </w:p>
        </w:tc>
      </w:tr>
    </w:tbl>
    <w:p w:rsidR="00BD7286" w:rsidRDefault="00BD7286">
      <w:pPr>
        <w:rPr>
          <w:rFonts w:asciiTheme="minorHAnsi" w:hAnsiTheme="minorHAnsi" w:cstheme="minorHAnsi"/>
          <w:b/>
          <w:color w:val="5D0F68"/>
          <w:sz w:val="28"/>
          <w:szCs w:val="22"/>
        </w:rPr>
      </w:pPr>
      <w:r>
        <w:br w:type="page"/>
      </w:r>
    </w:p>
    <w:p w:rsidR="004D1E7E" w:rsidRPr="00B84540" w:rsidRDefault="0046251F" w:rsidP="00E15FF6">
      <w:pPr>
        <w:pStyle w:val="ContentsHeading1"/>
      </w:pPr>
      <w:r w:rsidRPr="00B84540">
        <w:lastRenderedPageBreak/>
        <w:t>Contents</w:t>
      </w:r>
    </w:p>
    <w:p w:rsidR="00455C6F" w:rsidRPr="00EB593F" w:rsidRDefault="00455C6F" w:rsidP="00212803">
      <w:pPr>
        <w:rPr>
          <w:rFonts w:asciiTheme="minorHAnsi" w:hAnsiTheme="minorHAnsi" w:cstheme="minorHAnsi"/>
          <w:b/>
          <w:sz w:val="22"/>
          <w:szCs w:val="22"/>
        </w:rPr>
      </w:pPr>
    </w:p>
    <w:bookmarkStart w:id="0" w:name="_GoBack"/>
    <w:bookmarkEnd w:id="0"/>
    <w:p w:rsidR="00C326A0" w:rsidRDefault="009C6118">
      <w:pPr>
        <w:pStyle w:val="TOC1"/>
        <w:rPr>
          <w:rFonts w:eastAsiaTheme="minorEastAsia" w:cstheme="minorBidi"/>
          <w:b w:val="0"/>
          <w:szCs w:val="22"/>
        </w:rPr>
      </w:pPr>
      <w:r w:rsidRPr="00EB593F">
        <w:rPr>
          <w:rFonts w:cstheme="minorHAnsi"/>
          <w:szCs w:val="22"/>
        </w:rPr>
        <w:fldChar w:fldCharType="begin"/>
      </w:r>
      <w:r w:rsidR="004B1B20" w:rsidRPr="00EB593F">
        <w:rPr>
          <w:rFonts w:cstheme="minorHAnsi"/>
          <w:szCs w:val="22"/>
        </w:rPr>
        <w:instrText xml:space="preserve"> TOC \o "1-3" \h \z \u </w:instrText>
      </w:r>
      <w:r w:rsidRPr="00EB593F">
        <w:rPr>
          <w:rFonts w:cstheme="minorHAnsi"/>
          <w:szCs w:val="22"/>
        </w:rPr>
        <w:fldChar w:fldCharType="separate"/>
      </w:r>
      <w:hyperlink w:anchor="_Toc360095571" w:history="1">
        <w:r w:rsidR="00C326A0" w:rsidRPr="00895CF9">
          <w:rPr>
            <w:rStyle w:val="Hyperlink"/>
          </w:rPr>
          <w:t>1</w:t>
        </w:r>
        <w:r w:rsidR="00C326A0">
          <w:rPr>
            <w:rFonts w:eastAsiaTheme="minorEastAsia" w:cstheme="minorBidi"/>
            <w:b w:val="0"/>
            <w:szCs w:val="22"/>
          </w:rPr>
          <w:tab/>
        </w:r>
        <w:r w:rsidR="00C326A0" w:rsidRPr="00895CF9">
          <w:rPr>
            <w:rStyle w:val="Hyperlink"/>
          </w:rPr>
          <w:t>Purpose of this guide</w:t>
        </w:r>
        <w:r w:rsidR="00C326A0">
          <w:rPr>
            <w:webHidden/>
          </w:rPr>
          <w:tab/>
        </w:r>
        <w:r w:rsidR="00C326A0">
          <w:rPr>
            <w:webHidden/>
          </w:rPr>
          <w:fldChar w:fldCharType="begin"/>
        </w:r>
        <w:r w:rsidR="00C326A0">
          <w:rPr>
            <w:webHidden/>
          </w:rPr>
          <w:instrText xml:space="preserve"> PAGEREF _Toc360095571 \h </w:instrText>
        </w:r>
        <w:r w:rsidR="00C326A0">
          <w:rPr>
            <w:webHidden/>
          </w:rPr>
        </w:r>
        <w:r w:rsidR="00C326A0">
          <w:rPr>
            <w:webHidden/>
          </w:rPr>
          <w:fldChar w:fldCharType="separate"/>
        </w:r>
        <w:r w:rsidR="00C326A0">
          <w:rPr>
            <w:webHidden/>
          </w:rPr>
          <w:t>1</w:t>
        </w:r>
        <w:r w:rsidR="00C326A0">
          <w:rPr>
            <w:webHidden/>
          </w:rPr>
          <w:fldChar w:fldCharType="end"/>
        </w:r>
      </w:hyperlink>
    </w:p>
    <w:p w:rsidR="00C326A0" w:rsidRDefault="00C326A0">
      <w:pPr>
        <w:pStyle w:val="TOC1"/>
        <w:rPr>
          <w:rFonts w:eastAsiaTheme="minorEastAsia" w:cstheme="minorBidi"/>
          <w:b w:val="0"/>
          <w:szCs w:val="22"/>
        </w:rPr>
      </w:pPr>
      <w:hyperlink w:anchor="_Toc360095572" w:history="1">
        <w:r w:rsidRPr="00895CF9">
          <w:rPr>
            <w:rStyle w:val="Hyperlink"/>
          </w:rPr>
          <w:t>2</w:t>
        </w:r>
        <w:r>
          <w:rPr>
            <w:rFonts w:eastAsiaTheme="minorEastAsia" w:cstheme="minorBidi"/>
            <w:b w:val="0"/>
            <w:szCs w:val="22"/>
          </w:rPr>
          <w:tab/>
        </w:r>
        <w:r w:rsidRPr="00895CF9">
          <w:rPr>
            <w:rStyle w:val="Hyperlink"/>
          </w:rPr>
          <w:t>Who will benefit from this guide?</w:t>
        </w:r>
        <w:r>
          <w:rPr>
            <w:webHidden/>
          </w:rPr>
          <w:tab/>
        </w:r>
        <w:r>
          <w:rPr>
            <w:webHidden/>
          </w:rPr>
          <w:fldChar w:fldCharType="begin"/>
        </w:r>
        <w:r>
          <w:rPr>
            <w:webHidden/>
          </w:rPr>
          <w:instrText xml:space="preserve"> PAGEREF _Toc360095572 \h </w:instrText>
        </w:r>
        <w:r>
          <w:rPr>
            <w:webHidden/>
          </w:rPr>
        </w:r>
        <w:r>
          <w:rPr>
            <w:webHidden/>
          </w:rPr>
          <w:fldChar w:fldCharType="separate"/>
        </w:r>
        <w:r>
          <w:rPr>
            <w:webHidden/>
          </w:rPr>
          <w:t>2</w:t>
        </w:r>
        <w:r>
          <w:rPr>
            <w:webHidden/>
          </w:rPr>
          <w:fldChar w:fldCharType="end"/>
        </w:r>
      </w:hyperlink>
    </w:p>
    <w:p w:rsidR="00C326A0" w:rsidRDefault="00C326A0">
      <w:pPr>
        <w:pStyle w:val="TOC1"/>
        <w:rPr>
          <w:rFonts w:eastAsiaTheme="minorEastAsia" w:cstheme="minorBidi"/>
          <w:b w:val="0"/>
          <w:szCs w:val="22"/>
        </w:rPr>
      </w:pPr>
      <w:hyperlink w:anchor="_Toc360095573" w:history="1">
        <w:r w:rsidRPr="00895CF9">
          <w:rPr>
            <w:rStyle w:val="Hyperlink"/>
          </w:rPr>
          <w:t>3</w:t>
        </w:r>
        <w:r>
          <w:rPr>
            <w:rFonts w:eastAsiaTheme="minorEastAsia" w:cstheme="minorBidi"/>
            <w:b w:val="0"/>
            <w:szCs w:val="22"/>
          </w:rPr>
          <w:tab/>
        </w:r>
        <w:r w:rsidRPr="00895CF9">
          <w:rPr>
            <w:rStyle w:val="Hyperlink"/>
          </w:rPr>
          <w:t>Business drivers</w:t>
        </w:r>
        <w:r>
          <w:rPr>
            <w:webHidden/>
          </w:rPr>
          <w:tab/>
        </w:r>
        <w:r>
          <w:rPr>
            <w:webHidden/>
          </w:rPr>
          <w:fldChar w:fldCharType="begin"/>
        </w:r>
        <w:r>
          <w:rPr>
            <w:webHidden/>
          </w:rPr>
          <w:instrText xml:space="preserve"> PAGEREF _Toc360095573 \h </w:instrText>
        </w:r>
        <w:r>
          <w:rPr>
            <w:webHidden/>
          </w:rPr>
        </w:r>
        <w:r>
          <w:rPr>
            <w:webHidden/>
          </w:rPr>
          <w:fldChar w:fldCharType="separate"/>
        </w:r>
        <w:r>
          <w:rPr>
            <w:webHidden/>
          </w:rPr>
          <w:t>2</w:t>
        </w:r>
        <w:r>
          <w:rPr>
            <w:webHidden/>
          </w:rPr>
          <w:fldChar w:fldCharType="end"/>
        </w:r>
      </w:hyperlink>
    </w:p>
    <w:p w:rsidR="00C326A0" w:rsidRDefault="00C326A0">
      <w:pPr>
        <w:pStyle w:val="TOC1"/>
        <w:rPr>
          <w:rFonts w:eastAsiaTheme="minorEastAsia" w:cstheme="minorBidi"/>
          <w:b w:val="0"/>
          <w:szCs w:val="22"/>
        </w:rPr>
      </w:pPr>
      <w:hyperlink w:anchor="_Toc360095574" w:history="1">
        <w:r w:rsidRPr="00895CF9">
          <w:rPr>
            <w:rStyle w:val="Hyperlink"/>
          </w:rPr>
          <w:t>4</w:t>
        </w:r>
        <w:r>
          <w:rPr>
            <w:rFonts w:eastAsiaTheme="minorEastAsia" w:cstheme="minorBidi"/>
            <w:b w:val="0"/>
            <w:szCs w:val="22"/>
          </w:rPr>
          <w:tab/>
        </w:r>
        <w:r w:rsidRPr="00895CF9">
          <w:rPr>
            <w:rStyle w:val="Hyperlink"/>
          </w:rPr>
          <w:t>Energy procurement – practices for business</w:t>
        </w:r>
        <w:r>
          <w:rPr>
            <w:webHidden/>
          </w:rPr>
          <w:tab/>
        </w:r>
        <w:r>
          <w:rPr>
            <w:webHidden/>
          </w:rPr>
          <w:fldChar w:fldCharType="begin"/>
        </w:r>
        <w:r>
          <w:rPr>
            <w:webHidden/>
          </w:rPr>
          <w:instrText xml:space="preserve"> PAGEREF _Toc360095574 \h </w:instrText>
        </w:r>
        <w:r>
          <w:rPr>
            <w:webHidden/>
          </w:rPr>
        </w:r>
        <w:r>
          <w:rPr>
            <w:webHidden/>
          </w:rPr>
          <w:fldChar w:fldCharType="separate"/>
        </w:r>
        <w:r>
          <w:rPr>
            <w:webHidden/>
          </w:rPr>
          <w:t>2</w:t>
        </w:r>
        <w:r>
          <w:rPr>
            <w:webHidden/>
          </w:rPr>
          <w:fldChar w:fldCharType="end"/>
        </w:r>
      </w:hyperlink>
    </w:p>
    <w:p w:rsidR="00C326A0" w:rsidRDefault="00C326A0">
      <w:pPr>
        <w:pStyle w:val="TOC2"/>
        <w:rPr>
          <w:rFonts w:eastAsiaTheme="minorEastAsia" w:cstheme="minorBidi"/>
          <w:szCs w:val="22"/>
        </w:rPr>
      </w:pPr>
      <w:hyperlink w:anchor="_Toc360095575" w:history="1">
        <w:r w:rsidRPr="00895CF9">
          <w:rPr>
            <w:rStyle w:val="Hyperlink"/>
          </w:rPr>
          <w:t>4.1</w:t>
        </w:r>
        <w:r>
          <w:rPr>
            <w:rFonts w:eastAsiaTheme="minorEastAsia" w:cstheme="minorBidi"/>
            <w:szCs w:val="22"/>
          </w:rPr>
          <w:tab/>
        </w:r>
        <w:r w:rsidRPr="00895CF9">
          <w:rPr>
            <w:rStyle w:val="Hyperlink"/>
          </w:rPr>
          <w:t>Case studies</w:t>
        </w:r>
        <w:r>
          <w:rPr>
            <w:webHidden/>
          </w:rPr>
          <w:tab/>
        </w:r>
        <w:r>
          <w:rPr>
            <w:webHidden/>
          </w:rPr>
          <w:fldChar w:fldCharType="begin"/>
        </w:r>
        <w:r>
          <w:rPr>
            <w:webHidden/>
          </w:rPr>
          <w:instrText xml:space="preserve"> PAGEREF _Toc360095575 \h </w:instrText>
        </w:r>
        <w:r>
          <w:rPr>
            <w:webHidden/>
          </w:rPr>
        </w:r>
        <w:r>
          <w:rPr>
            <w:webHidden/>
          </w:rPr>
          <w:fldChar w:fldCharType="separate"/>
        </w:r>
        <w:r>
          <w:rPr>
            <w:webHidden/>
          </w:rPr>
          <w:t>3</w:t>
        </w:r>
        <w:r>
          <w:rPr>
            <w:webHidden/>
          </w:rPr>
          <w:fldChar w:fldCharType="end"/>
        </w:r>
      </w:hyperlink>
    </w:p>
    <w:p w:rsidR="00C326A0" w:rsidRDefault="00C326A0">
      <w:pPr>
        <w:pStyle w:val="TOC2"/>
        <w:rPr>
          <w:rFonts w:eastAsiaTheme="minorEastAsia" w:cstheme="minorBidi"/>
          <w:szCs w:val="22"/>
        </w:rPr>
      </w:pPr>
      <w:hyperlink w:anchor="_Toc360095576" w:history="1">
        <w:r w:rsidRPr="00895CF9">
          <w:rPr>
            <w:rStyle w:val="Hyperlink"/>
          </w:rPr>
          <w:t>4.2</w:t>
        </w:r>
        <w:r>
          <w:rPr>
            <w:rFonts w:eastAsiaTheme="minorEastAsia" w:cstheme="minorBidi"/>
            <w:szCs w:val="22"/>
          </w:rPr>
          <w:tab/>
        </w:r>
        <w:r w:rsidRPr="00895CF9">
          <w:rPr>
            <w:rStyle w:val="Hyperlink"/>
          </w:rPr>
          <w:t>Supporting tools and templates related to the practice steps</w:t>
        </w:r>
        <w:r>
          <w:rPr>
            <w:webHidden/>
          </w:rPr>
          <w:tab/>
        </w:r>
        <w:r>
          <w:rPr>
            <w:webHidden/>
          </w:rPr>
          <w:fldChar w:fldCharType="begin"/>
        </w:r>
        <w:r>
          <w:rPr>
            <w:webHidden/>
          </w:rPr>
          <w:instrText xml:space="preserve"> PAGEREF _Toc360095576 \h </w:instrText>
        </w:r>
        <w:r>
          <w:rPr>
            <w:webHidden/>
          </w:rPr>
        </w:r>
        <w:r>
          <w:rPr>
            <w:webHidden/>
          </w:rPr>
          <w:fldChar w:fldCharType="separate"/>
        </w:r>
        <w:r>
          <w:rPr>
            <w:webHidden/>
          </w:rPr>
          <w:t>11</w:t>
        </w:r>
        <w:r>
          <w:rPr>
            <w:webHidden/>
          </w:rPr>
          <w:fldChar w:fldCharType="end"/>
        </w:r>
      </w:hyperlink>
    </w:p>
    <w:p w:rsidR="00C326A0" w:rsidRDefault="00C326A0">
      <w:pPr>
        <w:pStyle w:val="TOC2"/>
        <w:rPr>
          <w:rFonts w:eastAsiaTheme="minorEastAsia" w:cstheme="minorBidi"/>
          <w:szCs w:val="22"/>
        </w:rPr>
      </w:pPr>
      <w:hyperlink w:anchor="_Toc360095577" w:history="1">
        <w:r w:rsidRPr="00895CF9">
          <w:rPr>
            <w:rStyle w:val="Hyperlink"/>
          </w:rPr>
          <w:t>4.3</w:t>
        </w:r>
        <w:r>
          <w:rPr>
            <w:rFonts w:eastAsiaTheme="minorEastAsia" w:cstheme="minorBidi"/>
            <w:szCs w:val="22"/>
          </w:rPr>
          <w:tab/>
        </w:r>
        <w:r w:rsidRPr="00895CF9">
          <w:rPr>
            <w:rStyle w:val="Hyperlink"/>
          </w:rPr>
          <w:t>Additional websites for reference /general knowledge</w:t>
        </w:r>
        <w:r>
          <w:rPr>
            <w:webHidden/>
          </w:rPr>
          <w:tab/>
        </w:r>
        <w:r>
          <w:rPr>
            <w:webHidden/>
          </w:rPr>
          <w:fldChar w:fldCharType="begin"/>
        </w:r>
        <w:r>
          <w:rPr>
            <w:webHidden/>
          </w:rPr>
          <w:instrText xml:space="preserve"> PAGEREF _Toc360095577 \h </w:instrText>
        </w:r>
        <w:r>
          <w:rPr>
            <w:webHidden/>
          </w:rPr>
        </w:r>
        <w:r>
          <w:rPr>
            <w:webHidden/>
          </w:rPr>
          <w:fldChar w:fldCharType="separate"/>
        </w:r>
        <w:r>
          <w:rPr>
            <w:webHidden/>
          </w:rPr>
          <w:t>12</w:t>
        </w:r>
        <w:r>
          <w:rPr>
            <w:webHidden/>
          </w:rPr>
          <w:fldChar w:fldCharType="end"/>
        </w:r>
      </w:hyperlink>
    </w:p>
    <w:p w:rsidR="00455C6F" w:rsidRPr="00EB593F" w:rsidRDefault="009C6118" w:rsidP="00212803">
      <w:pPr>
        <w:rPr>
          <w:rFonts w:asciiTheme="minorHAnsi" w:hAnsiTheme="minorHAnsi" w:cstheme="minorHAnsi"/>
          <w:b/>
          <w:sz w:val="22"/>
          <w:szCs w:val="22"/>
        </w:rPr>
      </w:pPr>
      <w:r w:rsidRPr="00EB593F">
        <w:rPr>
          <w:rFonts w:asciiTheme="minorHAnsi" w:hAnsiTheme="minorHAnsi" w:cstheme="minorHAnsi"/>
          <w:b/>
          <w:sz w:val="22"/>
          <w:szCs w:val="22"/>
        </w:rPr>
        <w:fldChar w:fldCharType="end"/>
      </w:r>
    </w:p>
    <w:p w:rsidR="00455C6F" w:rsidRPr="00EB593F" w:rsidRDefault="00455C6F" w:rsidP="00212803">
      <w:pPr>
        <w:rPr>
          <w:rFonts w:asciiTheme="minorHAnsi" w:hAnsiTheme="minorHAnsi" w:cstheme="minorHAnsi"/>
          <w:b/>
          <w:sz w:val="22"/>
          <w:szCs w:val="22"/>
        </w:rPr>
      </w:pPr>
    </w:p>
    <w:p w:rsidR="00455C6F" w:rsidRPr="00EB593F" w:rsidRDefault="00455C6F" w:rsidP="00212803">
      <w:pPr>
        <w:rPr>
          <w:rFonts w:asciiTheme="minorHAnsi" w:hAnsiTheme="minorHAnsi" w:cstheme="minorHAnsi"/>
          <w:b/>
          <w:sz w:val="22"/>
          <w:szCs w:val="22"/>
        </w:rPr>
        <w:sectPr w:rsidR="00455C6F" w:rsidRPr="00EB593F" w:rsidSect="00786D92">
          <w:pgSz w:w="16838" w:h="11899" w:orient="landscape" w:code="9"/>
          <w:pgMar w:top="1440" w:right="1440" w:bottom="1440" w:left="1440" w:header="851" w:footer="1247" w:gutter="0"/>
          <w:pgNumType w:fmt="lowerRoman" w:start="1"/>
          <w:cols w:space="720"/>
          <w:docGrid w:linePitch="326"/>
        </w:sectPr>
      </w:pPr>
    </w:p>
    <w:p w:rsidR="00324A44" w:rsidRPr="00EB593F" w:rsidRDefault="00324A44" w:rsidP="00324A44">
      <w:pPr>
        <w:pStyle w:val="Heading1"/>
      </w:pPr>
      <w:bookmarkStart w:id="1" w:name="_Toc360095571"/>
      <w:r w:rsidRPr="00EB593F">
        <w:lastRenderedPageBreak/>
        <w:t>Purpose of this guide</w:t>
      </w:r>
      <w:bookmarkEnd w:id="1"/>
    </w:p>
    <w:p w:rsidR="003529D7" w:rsidRPr="00874352" w:rsidRDefault="003529D7" w:rsidP="003529D7">
      <w:pPr>
        <w:pStyle w:val="Paragraph"/>
      </w:pPr>
      <w:bookmarkStart w:id="2" w:name="_Toc275951203"/>
      <w:r w:rsidRPr="00874352">
        <w:t>Welcome to the practi</w:t>
      </w:r>
      <w:r>
        <w:t>ce guide in energy procurement</w:t>
      </w:r>
      <w:r w:rsidRPr="00874352">
        <w:t xml:space="preserve">. </w:t>
      </w:r>
    </w:p>
    <w:p w:rsidR="003529D7" w:rsidRPr="00874352" w:rsidRDefault="003529D7" w:rsidP="003529D7">
      <w:pPr>
        <w:pStyle w:val="Paragraph"/>
      </w:pPr>
      <w:r w:rsidRPr="00874352">
        <w:t xml:space="preserve">The way a business structures its </w:t>
      </w:r>
      <w:r w:rsidR="00CA0AEA">
        <w:t xml:space="preserve">purchases of </w:t>
      </w:r>
      <w:r w:rsidRPr="00874352">
        <w:t xml:space="preserve">electricity, gas, diesel, </w:t>
      </w:r>
      <w:r w:rsidR="00BD7286">
        <w:t>liquefied petroleum gas (</w:t>
      </w:r>
      <w:r w:rsidRPr="00874352">
        <w:t>LPG</w:t>
      </w:r>
      <w:r w:rsidR="00BD7286">
        <w:t>)</w:t>
      </w:r>
      <w:r w:rsidRPr="00874352">
        <w:t xml:space="preserve"> and coal</w:t>
      </w:r>
      <w:r w:rsidR="00CA0AEA">
        <w:t>,</w:t>
      </w:r>
      <w:r w:rsidRPr="00874352">
        <w:t xml:space="preserve"> impacts </w:t>
      </w:r>
      <w:r w:rsidR="00317703">
        <w:t xml:space="preserve">its </w:t>
      </w:r>
      <w:r w:rsidRPr="00874352">
        <w:t xml:space="preserve">carbon footprint as well as the bottom line. </w:t>
      </w:r>
    </w:p>
    <w:p w:rsidR="003529D7" w:rsidRDefault="003529D7" w:rsidP="003529D7">
      <w:pPr>
        <w:pStyle w:val="Paragraph"/>
      </w:pPr>
      <w:r w:rsidRPr="00874352">
        <w:t>This guide will demonstrate how understanding resource use within your supply chain can assist in cost</w:t>
      </w:r>
      <w:r w:rsidR="00BD7286">
        <w:t>-</w:t>
      </w:r>
      <w:r w:rsidRPr="00874352">
        <w:t xml:space="preserve">effective </w:t>
      </w:r>
      <w:r w:rsidR="00CA0AEA">
        <w:t>supply arrangements</w:t>
      </w:r>
      <w:r w:rsidRPr="00874352">
        <w:t xml:space="preserve">. It will also </w:t>
      </w:r>
      <w:r w:rsidR="00CA0AEA">
        <w:t xml:space="preserve">outline </w:t>
      </w:r>
      <w:r w:rsidRPr="00874352">
        <w:t xml:space="preserve">procurement practices that consider your carbon footprint and/or potentially reduce direct and indirect costs. </w:t>
      </w:r>
      <w:r w:rsidR="00CA0AEA">
        <w:t xml:space="preserve">You will also learn </w:t>
      </w:r>
      <w:r w:rsidRPr="00874352">
        <w:t>how to obtain the best price when procu</w:t>
      </w:r>
      <w:r w:rsidR="00CA0AEA">
        <w:t>ring</w:t>
      </w:r>
      <w:r w:rsidRPr="00874352">
        <w:t xml:space="preserve"> electricity, gas and other key energy sources.</w:t>
      </w:r>
    </w:p>
    <w:p w:rsidR="005F6A6D" w:rsidRDefault="005F6A6D" w:rsidP="005F6A6D">
      <w:pPr>
        <w:pStyle w:val="Paragraph"/>
      </w:pPr>
      <w:r>
        <w:t>With t</w:t>
      </w:r>
      <w:r w:rsidRPr="00EB593F">
        <w:t>his guide</w:t>
      </w:r>
      <w:r>
        <w:t>,</w:t>
      </w:r>
      <w:r w:rsidRPr="00EB593F">
        <w:t xml:space="preserve"> </w:t>
      </w:r>
      <w:r>
        <w:t>your business</w:t>
      </w:r>
      <w:r w:rsidRPr="00EB593F">
        <w:t xml:space="preserve"> leaders </w:t>
      </w:r>
      <w:r>
        <w:t xml:space="preserve">will access tools and </w:t>
      </w:r>
      <w:r w:rsidR="00837882">
        <w:t xml:space="preserve">case study </w:t>
      </w:r>
      <w:r>
        <w:t>examples to review current energy procurement practices</w:t>
      </w:r>
      <w:r w:rsidR="00837882">
        <w:t xml:space="preserve">. </w:t>
      </w:r>
      <w:r w:rsidR="00CA0AEA">
        <w:t xml:space="preserve">The guide also enables </w:t>
      </w:r>
      <w:r>
        <w:t>identif</w:t>
      </w:r>
      <w:r w:rsidR="00CA0AEA">
        <w:t>ication of</w:t>
      </w:r>
      <w:r>
        <w:t xml:space="preserve"> potential quick wins around better </w:t>
      </w:r>
      <w:r w:rsidR="00261EE8">
        <w:t xml:space="preserve">electricity </w:t>
      </w:r>
      <w:r>
        <w:t>load management or a review of your tarriff structure.</w:t>
      </w:r>
      <w:r w:rsidR="00CA0AEA">
        <w:t xml:space="preserve"> </w:t>
      </w:r>
      <w:r>
        <w:t>In particular</w:t>
      </w:r>
      <w:r w:rsidR="00837882">
        <w:t>,</w:t>
      </w:r>
      <w:r>
        <w:t xml:space="preserve"> the team will be better equipped to</w:t>
      </w:r>
      <w:r w:rsidR="00CA0AEA">
        <w:t>:</w:t>
      </w:r>
    </w:p>
    <w:p w:rsidR="005F6A6D" w:rsidRDefault="00837882" w:rsidP="0067580F">
      <w:pPr>
        <w:pStyle w:val="Paragraph"/>
        <w:numPr>
          <w:ilvl w:val="0"/>
          <w:numId w:val="13"/>
        </w:numPr>
      </w:pPr>
      <w:r>
        <w:t>Present information on energy market,s</w:t>
      </w:r>
      <w:r w:rsidR="005F6A6D">
        <w:t xml:space="preserve"> including energy prices and site energy baseline data to inform cost savings opportunities</w:t>
      </w:r>
      <w:r w:rsidR="00261EE8">
        <w:t>.</w:t>
      </w:r>
      <w:r w:rsidR="005F6A6D">
        <w:t xml:space="preserve"> </w:t>
      </w:r>
    </w:p>
    <w:p w:rsidR="005F6A6D" w:rsidRDefault="005F6A6D" w:rsidP="0067580F">
      <w:pPr>
        <w:pStyle w:val="Paragraph"/>
        <w:numPr>
          <w:ilvl w:val="0"/>
          <w:numId w:val="13"/>
        </w:numPr>
      </w:pPr>
      <w:r>
        <w:t>Identify, prioritiseand align energy procurement cost saving opportunities with the current and future energy demands of the site</w:t>
      </w:r>
      <w:r w:rsidR="00261EE8">
        <w:t>.</w:t>
      </w:r>
      <w:r>
        <w:t xml:space="preserve"> </w:t>
      </w:r>
    </w:p>
    <w:p w:rsidR="005F6A6D" w:rsidRDefault="005F6A6D" w:rsidP="0067580F">
      <w:pPr>
        <w:pStyle w:val="Paragraph"/>
        <w:numPr>
          <w:ilvl w:val="0"/>
          <w:numId w:val="13"/>
        </w:numPr>
      </w:pPr>
      <w:r>
        <w:t xml:space="preserve">Engage others from within teams and across the site to </w:t>
      </w:r>
      <w:r w:rsidR="00261EE8">
        <w:t>support the achievement of c</w:t>
      </w:r>
      <w:r>
        <w:t>ost savings</w:t>
      </w:r>
      <w:r w:rsidR="00261EE8">
        <w:t>.</w:t>
      </w:r>
      <w:r>
        <w:t xml:space="preserve">  </w:t>
      </w:r>
    </w:p>
    <w:p w:rsidR="005F6A6D" w:rsidRDefault="005F6A6D" w:rsidP="0067580F">
      <w:pPr>
        <w:pStyle w:val="Paragraph"/>
        <w:numPr>
          <w:ilvl w:val="0"/>
          <w:numId w:val="13"/>
        </w:numPr>
      </w:pPr>
      <w:r>
        <w:t>Develop action plans to progress procurement cost savings</w:t>
      </w:r>
      <w:r w:rsidR="00261EE8">
        <w:t>.</w:t>
      </w:r>
      <w:r>
        <w:t xml:space="preserve"> </w:t>
      </w:r>
    </w:p>
    <w:p w:rsidR="005F6A6D" w:rsidRDefault="005F6A6D" w:rsidP="0067580F">
      <w:pPr>
        <w:pStyle w:val="Paragraph"/>
        <w:numPr>
          <w:ilvl w:val="0"/>
          <w:numId w:val="13"/>
        </w:numPr>
      </w:pPr>
      <w:r>
        <w:t>Revisit action plans and monitor progress against targets</w:t>
      </w:r>
      <w:r w:rsidR="00CA0AEA">
        <w:t>.</w:t>
      </w:r>
      <w:r>
        <w:t xml:space="preserve"> </w:t>
      </w:r>
    </w:p>
    <w:p w:rsidR="00A80D2D" w:rsidRDefault="00A80D2D" w:rsidP="00A80D2D">
      <w:pPr>
        <w:pStyle w:val="Paragraph"/>
      </w:pPr>
      <w:r>
        <w:t xml:space="preserve">This practice guide is supported by information and tools in the Embedding Energy Management </w:t>
      </w:r>
      <w:r w:rsidR="00837882">
        <w:t xml:space="preserve">(EEM) </w:t>
      </w:r>
      <w:r>
        <w:t>workforce development kit. Relevant tools are highlighted in bold throughout the practice guide.</w:t>
      </w:r>
      <w:r w:rsidR="00837882">
        <w:t>The EEM kit</w:t>
      </w:r>
      <w:r>
        <w:t xml:space="preserve"> is available from the resources section at </w:t>
      </w:r>
      <w:hyperlink r:id="rId16" w:history="1">
        <w:r w:rsidRPr="00DF263D">
          <w:rPr>
            <w:rStyle w:val="Hyperlink"/>
          </w:rPr>
          <w:t>http://www.sustainabilityskills.net.au</w:t>
        </w:r>
      </w:hyperlink>
      <w:r>
        <w:rPr>
          <w:b/>
        </w:rPr>
        <w:t>.</w:t>
      </w:r>
    </w:p>
    <w:p w:rsidR="005F6A6D" w:rsidRDefault="005F6A6D" w:rsidP="003529D7">
      <w:pPr>
        <w:pStyle w:val="Paragraph"/>
      </w:pPr>
    </w:p>
    <w:p w:rsidR="003529D7" w:rsidRPr="009F5210" w:rsidRDefault="003529D7" w:rsidP="003529D7">
      <w:pPr>
        <w:pStyle w:val="Heading1"/>
      </w:pPr>
      <w:bookmarkStart w:id="3" w:name="_Toc277715906"/>
      <w:bookmarkStart w:id="4" w:name="_Toc360095572"/>
      <w:r>
        <w:lastRenderedPageBreak/>
        <w:t>Who will benefit from this guide?</w:t>
      </w:r>
      <w:bookmarkEnd w:id="3"/>
      <w:bookmarkEnd w:id="4"/>
    </w:p>
    <w:p w:rsidR="003529D7" w:rsidRDefault="003529D7" w:rsidP="003529D7">
      <w:pPr>
        <w:pStyle w:val="Paragraph"/>
      </w:pPr>
      <w:r w:rsidRPr="00874352">
        <w:t>This guide will benefit General Managers, Procurement and Supply Chain Managers, Site Engineers and Managers, and Energy Champions who have the desire to learn more about integrating good energy procurement practice</w:t>
      </w:r>
      <w:r w:rsidR="00261EE8">
        <w:t>s</w:t>
      </w:r>
      <w:r w:rsidRPr="00874352">
        <w:t xml:space="preserve"> into their general procurement systems.</w:t>
      </w:r>
    </w:p>
    <w:p w:rsidR="003529D7" w:rsidRPr="009F5210" w:rsidRDefault="003529D7" w:rsidP="003529D7">
      <w:pPr>
        <w:pStyle w:val="Heading1"/>
      </w:pPr>
      <w:bookmarkStart w:id="5" w:name="_Toc277715907"/>
      <w:bookmarkStart w:id="6" w:name="_Toc360095573"/>
      <w:r>
        <w:t>Business drivers</w:t>
      </w:r>
      <w:bookmarkEnd w:id="5"/>
      <w:bookmarkEnd w:id="6"/>
    </w:p>
    <w:p w:rsidR="003529D7" w:rsidRDefault="00317703" w:rsidP="003529D7">
      <w:pPr>
        <w:pStyle w:val="Paragraph"/>
        <w:rPr>
          <w:b/>
          <w:bCs/>
        </w:rPr>
      </w:pPr>
      <w:r>
        <w:t xml:space="preserve">Energy costs are some of the most price-volatile </w:t>
      </w:r>
      <w:r w:rsidR="00261EE8">
        <w:t xml:space="preserve">but </w:t>
      </w:r>
      <w:r>
        <w:t xml:space="preserve">controllable costs </w:t>
      </w:r>
      <w:r w:rsidR="00261EE8">
        <w:t>for a</w:t>
      </w:r>
      <w:r>
        <w:t xml:space="preserve"> business, and they present a long</w:t>
      </w:r>
      <w:r w:rsidR="00837882">
        <w:t>-</w:t>
      </w:r>
      <w:r>
        <w:t>term risk as a result of the introduction of a price on carbon</w:t>
      </w:r>
      <w:r w:rsidR="00837882">
        <w:t>.</w:t>
      </w:r>
      <w:r>
        <w:t xml:space="preserve"> </w:t>
      </w:r>
      <w:r w:rsidR="003529D7">
        <w:t>The business b</w:t>
      </w:r>
      <w:r w:rsidR="003529D7" w:rsidRPr="00200184">
        <w:t xml:space="preserve">enefits of developing a systematic response to energy </w:t>
      </w:r>
      <w:r w:rsidR="003529D7">
        <w:t>procurement include:</w:t>
      </w:r>
    </w:p>
    <w:p w:rsidR="003529D7" w:rsidRDefault="00AB2780" w:rsidP="00A80D2D">
      <w:pPr>
        <w:pStyle w:val="Paragraph"/>
        <w:numPr>
          <w:ilvl w:val="0"/>
          <w:numId w:val="5"/>
        </w:numPr>
        <w:spacing w:before="120"/>
        <w:ind w:left="714" w:hanging="357"/>
      </w:pPr>
      <w:r>
        <w:t xml:space="preserve">Energy </w:t>
      </w:r>
      <w:r w:rsidR="003529D7" w:rsidRPr="00874352">
        <w:t>costs are minimised and risks effectively managed</w:t>
      </w:r>
      <w:r w:rsidR="006E3510">
        <w:t xml:space="preserve"> across the business</w:t>
      </w:r>
      <w:r w:rsidR="00261EE8">
        <w:t>.</w:t>
      </w:r>
    </w:p>
    <w:p w:rsidR="003529D7" w:rsidRDefault="00AB2780" w:rsidP="00A80D2D">
      <w:pPr>
        <w:pStyle w:val="Paragraph"/>
        <w:numPr>
          <w:ilvl w:val="0"/>
          <w:numId w:val="5"/>
        </w:numPr>
        <w:spacing w:before="120"/>
        <w:ind w:left="714" w:hanging="357"/>
      </w:pPr>
      <w:r>
        <w:t>Securing l</w:t>
      </w:r>
      <w:r w:rsidR="003529D7" w:rsidRPr="00874352">
        <w:t>ong-term contracts can provide price certainty</w:t>
      </w:r>
      <w:r w:rsidR="008C4160">
        <w:t>.</w:t>
      </w:r>
    </w:p>
    <w:p w:rsidR="003529D7" w:rsidRDefault="003529D7" w:rsidP="00A80D2D">
      <w:pPr>
        <w:pStyle w:val="Paragraph"/>
        <w:numPr>
          <w:ilvl w:val="0"/>
          <w:numId w:val="5"/>
        </w:numPr>
        <w:spacing w:before="120"/>
        <w:ind w:left="714" w:hanging="357"/>
      </w:pPr>
      <w:r>
        <w:t>T</w:t>
      </w:r>
      <w:r w:rsidRPr="00874352">
        <w:t>he negotiation of the terms of contract can ensure that risks are shared between the energy supplier and</w:t>
      </w:r>
      <w:r>
        <w:t xml:space="preserve"> customer</w:t>
      </w:r>
      <w:r w:rsidR="008C4160">
        <w:t>.</w:t>
      </w:r>
    </w:p>
    <w:p w:rsidR="003529D7" w:rsidRPr="009F5210" w:rsidRDefault="003529D7" w:rsidP="003529D7">
      <w:pPr>
        <w:pStyle w:val="Heading1"/>
      </w:pPr>
      <w:bookmarkStart w:id="7" w:name="_Toc277715908"/>
      <w:bookmarkStart w:id="8" w:name="_Toc360095574"/>
      <w:r>
        <w:t>Energy procurement – practices for business</w:t>
      </w:r>
      <w:bookmarkEnd w:id="7"/>
      <w:bookmarkEnd w:id="8"/>
    </w:p>
    <w:p w:rsidR="003529D7" w:rsidRPr="00874352" w:rsidRDefault="003529D7" w:rsidP="003529D7">
      <w:pPr>
        <w:pStyle w:val="Paragraph"/>
      </w:pPr>
      <w:r w:rsidRPr="00F218F7">
        <w:rPr>
          <w:lang w:eastAsia="zh-CN"/>
        </w:rPr>
        <w:t xml:space="preserve">This guide presents six key practices that will help business to better understand </w:t>
      </w:r>
      <w:r>
        <w:rPr>
          <w:lang w:eastAsia="zh-CN"/>
        </w:rPr>
        <w:t>the opportunities and realise the benefits of a systematic approach to energy procurement for</w:t>
      </w:r>
      <w:r w:rsidRPr="00F218F7">
        <w:rPr>
          <w:lang w:eastAsia="zh-CN"/>
        </w:rPr>
        <w:t xml:space="preserve"> their business, and how they can integrate the</w:t>
      </w:r>
      <w:r>
        <w:rPr>
          <w:lang w:eastAsia="zh-CN"/>
        </w:rPr>
        <w:t xml:space="preserve"> objectives of cost minimisation </w:t>
      </w:r>
      <w:r w:rsidR="00837882">
        <w:rPr>
          <w:lang w:eastAsia="zh-CN"/>
        </w:rPr>
        <w:t>and environmental/</w:t>
      </w:r>
      <w:r>
        <w:rPr>
          <w:lang w:eastAsia="zh-CN"/>
        </w:rPr>
        <w:t>carbon reduction goals</w:t>
      </w:r>
      <w:r w:rsidR="00837882">
        <w:rPr>
          <w:lang w:eastAsia="zh-CN"/>
        </w:rPr>
        <w:t xml:space="preserve">. </w:t>
      </w:r>
      <w:r w:rsidRPr="00F218F7">
        <w:rPr>
          <w:lang w:eastAsia="zh-CN"/>
        </w:rPr>
        <w:t>These six practices are</w:t>
      </w:r>
      <w:r w:rsidRPr="00874352">
        <w:t>:</w:t>
      </w:r>
    </w:p>
    <w:p w:rsidR="003529D7" w:rsidRPr="00874352" w:rsidRDefault="003529D7" w:rsidP="00A80D2D">
      <w:pPr>
        <w:pStyle w:val="Paragraph"/>
        <w:numPr>
          <w:ilvl w:val="0"/>
          <w:numId w:val="6"/>
        </w:numPr>
        <w:spacing w:before="120"/>
        <w:ind w:left="714" w:hanging="357"/>
      </w:pPr>
      <w:r w:rsidRPr="00874352">
        <w:t>Understand energy use</w:t>
      </w:r>
      <w:r w:rsidR="00837882">
        <w:t>,</w:t>
      </w:r>
      <w:r w:rsidR="00E1653F">
        <w:t xml:space="preserve"> including peak demand </w:t>
      </w:r>
      <w:r w:rsidRPr="00874352">
        <w:t>and</w:t>
      </w:r>
      <w:r>
        <w:t xml:space="preserve"> calculate current cost impacts</w:t>
      </w:r>
      <w:r w:rsidR="00837882">
        <w:t>.</w:t>
      </w:r>
    </w:p>
    <w:p w:rsidR="003529D7" w:rsidRPr="00874352" w:rsidRDefault="003529D7" w:rsidP="00A80D2D">
      <w:pPr>
        <w:pStyle w:val="Paragraph"/>
        <w:numPr>
          <w:ilvl w:val="0"/>
          <w:numId w:val="6"/>
        </w:numPr>
        <w:spacing w:before="120"/>
        <w:ind w:left="714" w:hanging="357"/>
      </w:pPr>
      <w:r w:rsidRPr="00874352">
        <w:t xml:space="preserve">Use energy market and price trends to inform </w:t>
      </w:r>
      <w:r w:rsidR="00E1653F">
        <w:t>contract and tarrif reviews</w:t>
      </w:r>
      <w:r w:rsidR="00837882">
        <w:t>.</w:t>
      </w:r>
    </w:p>
    <w:p w:rsidR="003529D7" w:rsidRPr="00874352" w:rsidRDefault="003529D7" w:rsidP="00A80D2D">
      <w:pPr>
        <w:pStyle w:val="Paragraph"/>
        <w:numPr>
          <w:ilvl w:val="0"/>
          <w:numId w:val="6"/>
        </w:numPr>
        <w:spacing w:before="120"/>
        <w:ind w:left="714" w:hanging="357"/>
      </w:pPr>
      <w:r w:rsidRPr="00874352">
        <w:t>Explore and identify opport</w:t>
      </w:r>
      <w:r>
        <w:t>unities to reduce energy costs</w:t>
      </w:r>
      <w:r w:rsidR="00837882">
        <w:t>.</w:t>
      </w:r>
    </w:p>
    <w:p w:rsidR="003529D7" w:rsidRPr="00874352" w:rsidRDefault="003529D7" w:rsidP="00A80D2D">
      <w:pPr>
        <w:pStyle w:val="Paragraph"/>
        <w:numPr>
          <w:ilvl w:val="0"/>
          <w:numId w:val="6"/>
        </w:numPr>
        <w:spacing w:before="120"/>
        <w:ind w:left="714" w:hanging="357"/>
      </w:pPr>
      <w:r w:rsidRPr="00874352">
        <w:t>Investigate contract options and communicate energy market intelli</w:t>
      </w:r>
      <w:r>
        <w:t xml:space="preserve">gence </w:t>
      </w:r>
      <w:r w:rsidR="00E1653F">
        <w:t>to others in the business</w:t>
      </w:r>
      <w:r w:rsidR="00837882">
        <w:t>.</w:t>
      </w:r>
    </w:p>
    <w:p w:rsidR="003529D7" w:rsidRPr="00874352" w:rsidRDefault="003529D7" w:rsidP="00A80D2D">
      <w:pPr>
        <w:pStyle w:val="Paragraph"/>
        <w:numPr>
          <w:ilvl w:val="0"/>
          <w:numId w:val="6"/>
        </w:numPr>
        <w:spacing w:before="120"/>
        <w:ind w:left="714" w:hanging="357"/>
      </w:pPr>
      <w:r w:rsidRPr="00874352">
        <w:t xml:space="preserve">Facilitate implementation </w:t>
      </w:r>
      <w:r>
        <w:t>of cost reduction opportunities</w:t>
      </w:r>
      <w:r w:rsidR="00837882">
        <w:t>.</w:t>
      </w:r>
    </w:p>
    <w:p w:rsidR="003529D7" w:rsidRPr="00874352" w:rsidRDefault="003529D7" w:rsidP="00A80D2D">
      <w:pPr>
        <w:pStyle w:val="Paragraph"/>
        <w:numPr>
          <w:ilvl w:val="0"/>
          <w:numId w:val="6"/>
        </w:numPr>
        <w:spacing w:before="120"/>
        <w:ind w:left="714" w:hanging="357"/>
      </w:pPr>
      <w:r w:rsidRPr="00874352">
        <w:t>Monitor and investigate implementation of novel procurement practices t</w:t>
      </w:r>
      <w:r>
        <w:t>o explore changes in the market</w:t>
      </w:r>
      <w:r w:rsidR="00A80D2D">
        <w:t>.</w:t>
      </w:r>
    </w:p>
    <w:p w:rsidR="000C5B9E" w:rsidRDefault="000C5B9E">
      <w:pPr>
        <w:rPr>
          <w:rFonts w:asciiTheme="minorHAnsi" w:hAnsiTheme="minorHAnsi"/>
          <w:b/>
          <w:color w:val="5D0F68"/>
        </w:rPr>
      </w:pPr>
      <w:bookmarkStart w:id="9" w:name="_Toc277715909"/>
      <w:r>
        <w:br w:type="page"/>
      </w:r>
    </w:p>
    <w:p w:rsidR="0067580F" w:rsidRDefault="003529D7" w:rsidP="003529D7">
      <w:pPr>
        <w:pStyle w:val="Heading2"/>
      </w:pPr>
      <w:bookmarkStart w:id="10" w:name="_Toc360095575"/>
      <w:r>
        <w:lastRenderedPageBreak/>
        <w:t xml:space="preserve">Case </w:t>
      </w:r>
      <w:r w:rsidR="00A80D2D">
        <w:t>studies</w:t>
      </w:r>
      <w:bookmarkEnd w:id="10"/>
    </w:p>
    <w:p w:rsidR="003529D7" w:rsidRPr="00A80D2D" w:rsidRDefault="0067580F" w:rsidP="00A80D2D">
      <w:pPr>
        <w:pStyle w:val="ContentsHeading2"/>
      </w:pPr>
      <w:r w:rsidRPr="001C6078">
        <w:t>Multiple sites</w:t>
      </w:r>
      <w:r w:rsidR="001C6078">
        <w:t xml:space="preserve"> -</w:t>
      </w:r>
      <w:r w:rsidRPr="001C6078">
        <w:t xml:space="preserve"> but only one rate</w:t>
      </w:r>
      <w:bookmarkEnd w:id="9"/>
    </w:p>
    <w:p w:rsidR="003529D7" w:rsidRPr="00413166" w:rsidRDefault="00D330AF" w:rsidP="003529D7">
      <w:pPr>
        <w:pStyle w:val="Paragraph"/>
      </w:pPr>
      <w:r w:rsidRPr="00D330AF">
        <w:t xml:space="preserve">Phil </w:t>
      </w:r>
      <w:r w:rsidR="00D90615">
        <w:t xml:space="preserve">, the Procurement Manager </w:t>
      </w:r>
      <w:r w:rsidRPr="00D330AF">
        <w:t xml:space="preserve">realises that one of his sites would save money by moving onto a negotiated contract in the same way that some of his other sites have done. The site in question uses 2,660 MWh of electricity a year. </w:t>
      </w:r>
    </w:p>
    <w:p w:rsidR="003529D7" w:rsidRPr="00413166" w:rsidRDefault="00D330AF" w:rsidP="003529D7">
      <w:pPr>
        <w:pStyle w:val="Paragraph"/>
      </w:pPr>
      <w:r w:rsidRPr="00D330AF">
        <w:t xml:space="preserve">Whilst he is sure he can get a better deal, he is not confident that his current contract will accommodate any changes. By talking to his retailer, Phil negotiates to include this site on the same contract rates as his other sites. He saves $13/MWh, or $34,580 a year overall, and saves on administration time by having just one electricity supplier.  </w:t>
      </w:r>
    </w:p>
    <w:p w:rsidR="00486E0C" w:rsidRDefault="0067580F" w:rsidP="003529D7">
      <w:pPr>
        <w:pStyle w:val="Paragraph"/>
      </w:pPr>
      <w:r>
        <w:t>Given the firm</w:t>
      </w:r>
      <w:r w:rsidR="00DA1B23">
        <w:t>’</w:t>
      </w:r>
      <w:r>
        <w:t>s new policy on reducing its impact on the environment</w:t>
      </w:r>
      <w:r w:rsidR="00695AF3">
        <w:t>,</w:t>
      </w:r>
      <w:r>
        <w:t xml:space="preserve"> </w:t>
      </w:r>
      <w:r w:rsidR="00D330AF" w:rsidRPr="00D330AF">
        <w:t>Phil decides to use the savings to buy a proportion of his electricity as GreenPower. Again he talks to his retailer about the options and decides to buy 20% GreenPower.</w:t>
      </w:r>
      <w:r w:rsidR="00A80D2D">
        <w:t xml:space="preserve"> </w:t>
      </w:r>
      <w:r w:rsidR="003529D7" w:rsidRPr="00874352">
        <w:t xml:space="preserve">The outcome for </w:t>
      </w:r>
      <w:r w:rsidR="00A83AB7">
        <w:t>Phil’s</w:t>
      </w:r>
      <w:r w:rsidR="003529D7" w:rsidRPr="00874352">
        <w:t xml:space="preserve"> business is good for the bottom line, and good for the environment.</w:t>
      </w:r>
    </w:p>
    <w:p w:rsidR="007751D2" w:rsidRDefault="007751D2" w:rsidP="00A80D2D">
      <w:pPr>
        <w:pStyle w:val="ContentsHeading2"/>
      </w:pPr>
      <w:r w:rsidRPr="0067580F">
        <w:t>AD Cootes</w:t>
      </w:r>
      <w:r w:rsidR="0067580F">
        <w:t xml:space="preserve"> </w:t>
      </w:r>
      <w:r w:rsidR="00D90615">
        <w:t>, metal fabricators ,</w:t>
      </w:r>
      <w:r w:rsidR="0067580F">
        <w:t>reduce risk and save</w:t>
      </w:r>
      <w:r w:rsidR="00D90615">
        <w:t xml:space="preserve"> money</w:t>
      </w:r>
    </w:p>
    <w:p w:rsidR="007751D2" w:rsidRDefault="007751D2" w:rsidP="003529D7">
      <w:pPr>
        <w:pStyle w:val="Paragraph"/>
      </w:pPr>
      <w:r>
        <w:t>AD Cootes</w:t>
      </w:r>
      <w:r w:rsidR="00A80D2D">
        <w:t>,WA,</w:t>
      </w:r>
      <w:r>
        <w:t xml:space="preserve"> currently purchase</w:t>
      </w:r>
      <w:r w:rsidR="00695AF3">
        <w:t>s</w:t>
      </w:r>
      <w:r>
        <w:t xml:space="preserve"> electricity on a contract which is renegotiated on an annual basis. This </w:t>
      </w:r>
      <w:r w:rsidR="00837882">
        <w:t>‘</w:t>
      </w:r>
      <w:r>
        <w:t>bundled</w:t>
      </w:r>
      <w:r w:rsidR="00837882">
        <w:t>’</w:t>
      </w:r>
      <w:r>
        <w:t xml:space="preserve"> contract currently has a very high unit cost of electricity. This is likely due to the electricity retailer</w:t>
      </w:r>
      <w:r w:rsidR="00695AF3">
        <w:t>’</w:t>
      </w:r>
      <w:r>
        <w:t xml:space="preserve">s perception that the site is a </w:t>
      </w:r>
      <w:r w:rsidR="00837882">
        <w:t>‘</w:t>
      </w:r>
      <w:r>
        <w:t>higher than normal risk</w:t>
      </w:r>
      <w:r w:rsidR="00837882">
        <w:t>’</w:t>
      </w:r>
      <w:r w:rsidR="00E1653F">
        <w:t xml:space="preserve"> energy user</w:t>
      </w:r>
      <w:r w:rsidR="00D90615">
        <w:t xml:space="preserve"> due to the variation in their daily energy use patterns</w:t>
      </w:r>
      <w:r>
        <w:t>.</w:t>
      </w:r>
    </w:p>
    <w:p w:rsidR="007751D2" w:rsidRDefault="007751D2" w:rsidP="003529D7">
      <w:pPr>
        <w:pStyle w:val="Paragraph"/>
      </w:pPr>
      <w:r>
        <w:t>The reasons for this may be:</w:t>
      </w:r>
    </w:p>
    <w:p w:rsidR="007751D2" w:rsidRDefault="007751D2" w:rsidP="0067580F">
      <w:pPr>
        <w:pStyle w:val="Paragraph"/>
        <w:numPr>
          <w:ilvl w:val="0"/>
          <w:numId w:val="13"/>
        </w:numPr>
      </w:pPr>
      <w:r>
        <w:t>Electricity use can fluctuate greatly throughout the day</w:t>
      </w:r>
      <w:r w:rsidR="001C6078">
        <w:t>.</w:t>
      </w:r>
    </w:p>
    <w:p w:rsidR="007751D2" w:rsidRDefault="007751D2" w:rsidP="0067580F">
      <w:pPr>
        <w:pStyle w:val="Paragraph"/>
        <w:numPr>
          <w:ilvl w:val="0"/>
          <w:numId w:val="13"/>
        </w:numPr>
      </w:pPr>
      <w:r>
        <w:t>The peak/off-peak ratio is greatly in favour of the more high</w:t>
      </w:r>
      <w:r w:rsidR="00837882">
        <w:t>-</w:t>
      </w:r>
      <w:r>
        <w:t>risk peak period.</w:t>
      </w:r>
    </w:p>
    <w:p w:rsidR="007751D2" w:rsidRDefault="007751D2" w:rsidP="0067580F">
      <w:pPr>
        <w:pStyle w:val="Paragraph"/>
        <w:numPr>
          <w:ilvl w:val="0"/>
          <w:numId w:val="13"/>
        </w:numPr>
      </w:pPr>
      <w:r>
        <w:t>There does not appear to be anyone on site who takes responsibility for energy consumption nor for keeping energy consumption as low as possible.</w:t>
      </w:r>
    </w:p>
    <w:p w:rsidR="007751D2" w:rsidRDefault="007751D2" w:rsidP="0067580F">
      <w:pPr>
        <w:pStyle w:val="Paragraph"/>
        <w:numPr>
          <w:ilvl w:val="0"/>
          <w:numId w:val="13"/>
        </w:numPr>
      </w:pPr>
      <w:r>
        <w:t>Negotiations appear to be last minute and focus solely on what is the best price the site can get</w:t>
      </w:r>
      <w:r w:rsidR="00695AF3">
        <w:t xml:space="preserve">, </w:t>
      </w:r>
      <w:r>
        <w:t>and not on how can they best reduce risk for the retailer.</w:t>
      </w:r>
    </w:p>
    <w:p w:rsidR="007751D2" w:rsidRDefault="007751D2" w:rsidP="003529D7">
      <w:pPr>
        <w:pStyle w:val="Paragraph"/>
      </w:pPr>
      <w:r>
        <w:lastRenderedPageBreak/>
        <w:t xml:space="preserve">After </w:t>
      </w:r>
      <w:r w:rsidR="00D90615">
        <w:t xml:space="preserve">the EEM planninmg session </w:t>
      </w:r>
      <w:r w:rsidR="00DB127C">
        <w:t xml:space="preserve">for Module 3 </w:t>
      </w:r>
      <w:r w:rsidR="00D90615">
        <w:t xml:space="preserve">was conducted the site appointed the Finance Manager to be responsible for energy management </w:t>
      </w:r>
      <w:r>
        <w:t>giving the retailer better information</w:t>
      </w:r>
      <w:r w:rsidR="00E1653F">
        <w:t xml:space="preserve"> on these risks</w:t>
      </w:r>
      <w:r w:rsidR="00837882">
        <w:t>,</w:t>
      </w:r>
      <w:r w:rsidR="00E1653F">
        <w:t xml:space="preserve"> collaborating on a plan</w:t>
      </w:r>
      <w:r>
        <w:t xml:space="preserve"> and </w:t>
      </w:r>
      <w:r w:rsidR="00695AF3">
        <w:t xml:space="preserve">providing </w:t>
      </w:r>
      <w:r>
        <w:t>the</w:t>
      </w:r>
      <w:r w:rsidR="00695AF3">
        <w:t xml:space="preserve"> retailer with </w:t>
      </w:r>
      <w:r>
        <w:t>greater confidence</w:t>
      </w:r>
      <w:r w:rsidR="0067580F">
        <w:t xml:space="preserve"> </w:t>
      </w:r>
      <w:r w:rsidR="00695AF3">
        <w:t>that the risk is being reduced,</w:t>
      </w:r>
      <w:r w:rsidR="0067580F">
        <w:t xml:space="preserve"> a</w:t>
      </w:r>
      <w:r w:rsidR="00695AF3">
        <w:t>n</w:t>
      </w:r>
      <w:r>
        <w:t xml:space="preserve"> electricity unit cost savings of 20% </w:t>
      </w:r>
      <w:r w:rsidR="0067580F">
        <w:t xml:space="preserve">was </w:t>
      </w:r>
      <w:r w:rsidR="00D90615">
        <w:t>negotiated</w:t>
      </w:r>
      <w:r w:rsidR="0067580F">
        <w:t xml:space="preserve"> saving the business almost $20,000 per year </w:t>
      </w:r>
      <w:r w:rsidR="00695AF3">
        <w:t>ove</w:t>
      </w:r>
      <w:r w:rsidR="0067580F">
        <w:t xml:space="preserve">r </w:t>
      </w:r>
      <w:r w:rsidR="00695AF3">
        <w:t>two</w:t>
      </w:r>
      <w:r w:rsidR="0067580F">
        <w:t xml:space="preserve"> years.</w:t>
      </w:r>
    </w:p>
    <w:p w:rsidR="00486E0C" w:rsidRDefault="007679E8" w:rsidP="00A80D2D">
      <w:pPr>
        <w:pStyle w:val="ContentsHeading2"/>
      </w:pPr>
      <w:r>
        <w:t>Managing electricity via a procurement strategy</w:t>
      </w:r>
      <w:r w:rsidR="00837882">
        <w:t xml:space="preserve"> source ‘</w:t>
      </w:r>
      <w:r w:rsidR="00486E0C">
        <w:t xml:space="preserve">Guide to </w:t>
      </w:r>
      <w:r w:rsidR="00837882">
        <w:t>energy efficiency</w:t>
      </w:r>
      <w:r w:rsidR="00486E0C">
        <w:t xml:space="preserve"> opportunities in Canadian Foundries</w:t>
      </w:r>
      <w:r w:rsidR="00837882">
        <w:t>’</w:t>
      </w:r>
    </w:p>
    <w:p w:rsidR="007679E8" w:rsidRPr="00A80D2D" w:rsidRDefault="00486E0C" w:rsidP="00837882">
      <w:pPr>
        <w:pStyle w:val="Paragraph"/>
        <w:rPr>
          <w:sz w:val="36"/>
        </w:rPr>
      </w:pPr>
      <w:r w:rsidRPr="00A80D2D">
        <w:rPr>
          <w:rFonts w:eastAsia="Times" w:cs="TradeGothic-Oblique"/>
          <w:i/>
          <w:iCs/>
        </w:rPr>
        <w:t xml:space="preserve">Energy Efficiency Opportunities in Canadian Foundries </w:t>
      </w:r>
      <w:r w:rsidRPr="00A80D2D">
        <w:rPr>
          <w:rFonts w:eastAsia="Times"/>
        </w:rPr>
        <w:t>is a joint project of the Canadian Foundry Association and Natural Resources Canada through the Canadian Industry Program for Energy Conservation (CIPEC).</w:t>
      </w:r>
      <w:r w:rsidRPr="00A80D2D">
        <w:rPr>
          <w:sz w:val="36"/>
        </w:rPr>
        <w:t xml:space="preserve"> </w:t>
      </w:r>
    </w:p>
    <w:p w:rsidR="001C6078" w:rsidRDefault="007679E8" w:rsidP="00837882">
      <w:pPr>
        <w:pStyle w:val="Paragraph"/>
        <w:rPr>
          <w:rFonts w:eastAsia="Times" w:cs="Bembo"/>
        </w:rPr>
      </w:pPr>
      <w:r w:rsidRPr="001C6078">
        <w:rPr>
          <w:rFonts w:eastAsia="Times" w:cs="Bembo"/>
        </w:rPr>
        <w:t>The effort to save electricity at a foundry could start with examining the components of its electricity bill. Often these are not ful</w:t>
      </w:r>
      <w:r w:rsidR="001C6078">
        <w:rPr>
          <w:rFonts w:eastAsia="Times" w:cs="Bembo"/>
        </w:rPr>
        <w:t xml:space="preserve">ly understood and consequently </w:t>
      </w:r>
      <w:r w:rsidRPr="001C6078">
        <w:rPr>
          <w:rFonts w:eastAsia="Times" w:cs="Bembo"/>
        </w:rPr>
        <w:t xml:space="preserve">advantages of </w:t>
      </w:r>
      <w:r w:rsidR="001C6078">
        <w:rPr>
          <w:rFonts w:eastAsia="Times" w:cs="Bembo"/>
        </w:rPr>
        <w:t>available savings are not utilis</w:t>
      </w:r>
      <w:r w:rsidRPr="001C6078">
        <w:rPr>
          <w:rFonts w:eastAsia="Times" w:cs="Bembo"/>
        </w:rPr>
        <w:t>ed. A foundry can lever this knowledge profitably in managing electricity use on site and in negotiating with energy companies in the new, deregulated electricity market in Canada.</w:t>
      </w:r>
    </w:p>
    <w:p w:rsidR="007679E8" w:rsidRDefault="007679E8" w:rsidP="00837882">
      <w:pPr>
        <w:pStyle w:val="Paragraph"/>
        <w:rPr>
          <w:rFonts w:eastAsia="Times" w:cs="Bembo"/>
        </w:rPr>
      </w:pPr>
      <w:r w:rsidRPr="001C6078">
        <w:rPr>
          <w:rFonts w:eastAsia="Times" w:cs="Bembo"/>
        </w:rPr>
        <w:t xml:space="preserve">The electricity </w:t>
      </w:r>
      <w:r w:rsidR="001C6078">
        <w:rPr>
          <w:rFonts w:eastAsia="Times" w:cs="Bembo"/>
        </w:rPr>
        <w:t>has</w:t>
      </w:r>
      <w:r w:rsidRPr="001C6078">
        <w:rPr>
          <w:rFonts w:eastAsia="Times" w:cs="Bembo"/>
        </w:rPr>
        <w:t xml:space="preserve"> four components:</w:t>
      </w:r>
    </w:p>
    <w:p w:rsidR="007679E8" w:rsidRPr="001C6078" w:rsidRDefault="007679E8" w:rsidP="00837882">
      <w:pPr>
        <w:pStyle w:val="Paragraph"/>
        <w:numPr>
          <w:ilvl w:val="1"/>
          <w:numId w:val="6"/>
        </w:numPr>
        <w:ind w:left="426" w:hanging="426"/>
        <w:rPr>
          <w:rFonts w:eastAsia="Times"/>
          <w:noProof w:val="0"/>
        </w:rPr>
      </w:pPr>
      <w:r w:rsidRPr="001C6078">
        <w:rPr>
          <w:rFonts w:eastAsia="Times"/>
          <w:b/>
          <w:noProof w:val="0"/>
        </w:rPr>
        <w:t>Consumption charge</w:t>
      </w:r>
      <w:r w:rsidRPr="001C6078">
        <w:rPr>
          <w:rFonts w:eastAsia="Times"/>
          <w:noProof w:val="0"/>
        </w:rPr>
        <w:t xml:space="preserve"> – the kWh consumed in a given period multiplied by the set rate,</w:t>
      </w:r>
      <w:r w:rsidR="00837882">
        <w:rPr>
          <w:rFonts w:eastAsia="Times"/>
          <w:noProof w:val="0"/>
        </w:rPr>
        <w:t xml:space="preserve"> in ¢/kWh. A second consumption</w:t>
      </w:r>
      <w:r w:rsidRPr="001C6078">
        <w:rPr>
          <w:rFonts w:eastAsia="Times"/>
          <w:noProof w:val="0"/>
        </w:rPr>
        <w:t xml:space="preserve"> charge may apply in time of</w:t>
      </w:r>
      <w:r w:rsidR="00837882">
        <w:rPr>
          <w:rFonts w:eastAsia="Times"/>
          <w:noProof w:val="0"/>
        </w:rPr>
        <w:t xml:space="preserve"> </w:t>
      </w:r>
      <w:r w:rsidRPr="001C6078">
        <w:rPr>
          <w:rFonts w:eastAsia="Times"/>
          <w:noProof w:val="0"/>
        </w:rPr>
        <w:t>use and seasonal rates situations.</w:t>
      </w:r>
      <w:r w:rsidR="00A80D2D">
        <w:rPr>
          <w:rFonts w:eastAsia="Times"/>
          <w:noProof w:val="0"/>
        </w:rPr>
        <w:t xml:space="preserve"> </w:t>
      </w:r>
      <w:r w:rsidRPr="001C6078">
        <w:rPr>
          <w:rFonts w:eastAsia="Times"/>
          <w:noProof w:val="0"/>
        </w:rPr>
        <w:t>These pricing schemes offer lower rates to customers who can shift high-demand operations away from the periods when the utility receives its peak demand for energy.</w:t>
      </w:r>
      <w:r w:rsidR="00A80D2D">
        <w:rPr>
          <w:rFonts w:eastAsia="Times"/>
          <w:noProof w:val="0"/>
        </w:rPr>
        <w:t xml:space="preserve"> </w:t>
      </w:r>
      <w:r w:rsidRPr="001C6078">
        <w:rPr>
          <w:rFonts w:eastAsia="Times"/>
          <w:noProof w:val="0"/>
        </w:rPr>
        <w:t>The utility benefits from a more consistent daily load pattern, and the customer pays less.</w:t>
      </w:r>
    </w:p>
    <w:p w:rsidR="007679E8" w:rsidRPr="001C6078" w:rsidRDefault="001C6078" w:rsidP="00837882">
      <w:pPr>
        <w:pStyle w:val="Paragraph"/>
        <w:rPr>
          <w:rFonts w:eastAsia="Times"/>
          <w:noProof w:val="0"/>
        </w:rPr>
      </w:pPr>
      <w:r>
        <w:rPr>
          <w:rFonts w:eastAsia="Times"/>
          <w:noProof w:val="0"/>
        </w:rPr>
        <w:t>Savings can be achieved by</w:t>
      </w:r>
      <w:r w:rsidR="007679E8" w:rsidRPr="001C6078">
        <w:rPr>
          <w:rFonts w:eastAsia="Times"/>
          <w:noProof w:val="0"/>
        </w:rPr>
        <w:t>:</w:t>
      </w:r>
    </w:p>
    <w:p w:rsidR="007679E8" w:rsidRPr="00A80D2D" w:rsidRDefault="00837882" w:rsidP="00837882">
      <w:pPr>
        <w:pStyle w:val="Paragraph"/>
        <w:numPr>
          <w:ilvl w:val="0"/>
          <w:numId w:val="13"/>
        </w:numPr>
        <w:ind w:left="851" w:hanging="425"/>
      </w:pPr>
      <w:r>
        <w:t>r</w:t>
      </w:r>
      <w:r w:rsidR="007679E8" w:rsidRPr="00A80D2D">
        <w:t>educ</w:t>
      </w:r>
      <w:r>
        <w:t>ing</w:t>
      </w:r>
      <w:r w:rsidR="007679E8" w:rsidRPr="00A80D2D">
        <w:t xml:space="preserve"> the total electricity consum</w:t>
      </w:r>
      <w:r w:rsidR="00A80D2D" w:rsidRPr="00A80D2D">
        <w:t>ption (in kWh) in the facility</w:t>
      </w:r>
    </w:p>
    <w:p w:rsidR="007679E8" w:rsidRPr="00A80D2D" w:rsidRDefault="00837882" w:rsidP="00837882">
      <w:pPr>
        <w:pStyle w:val="Paragraph"/>
        <w:numPr>
          <w:ilvl w:val="0"/>
          <w:numId w:val="13"/>
        </w:numPr>
        <w:ind w:left="851" w:hanging="425"/>
      </w:pPr>
      <w:r>
        <w:t>s</w:t>
      </w:r>
      <w:r w:rsidR="007679E8" w:rsidRPr="00A80D2D">
        <w:t>hift</w:t>
      </w:r>
      <w:r>
        <w:t>ing</w:t>
      </w:r>
      <w:r w:rsidR="007679E8" w:rsidRPr="00A80D2D">
        <w:t xml:space="preserve"> energy consumption to a time when energy costs are lower.</w:t>
      </w:r>
    </w:p>
    <w:p w:rsidR="007679E8" w:rsidRPr="001C6078" w:rsidRDefault="007679E8" w:rsidP="00837882">
      <w:pPr>
        <w:pStyle w:val="Paragraph"/>
        <w:numPr>
          <w:ilvl w:val="1"/>
          <w:numId w:val="6"/>
        </w:numPr>
        <w:ind w:left="426" w:hanging="426"/>
        <w:rPr>
          <w:rFonts w:eastAsia="Times"/>
        </w:rPr>
      </w:pPr>
      <w:r w:rsidRPr="001C6078">
        <w:rPr>
          <w:rFonts w:eastAsia="Times"/>
          <w:b/>
        </w:rPr>
        <w:t>Demand charge –</w:t>
      </w:r>
      <w:r w:rsidRPr="001C6078">
        <w:rPr>
          <w:rFonts w:eastAsia="Times"/>
        </w:rPr>
        <w:t xml:space="preserve"> the maximum power level used by the foundry, in kW or kVA, is also called peak demand.</w:t>
      </w:r>
      <w:r w:rsidR="00A80D2D">
        <w:rPr>
          <w:rFonts w:eastAsia="Times"/>
        </w:rPr>
        <w:t xml:space="preserve"> </w:t>
      </w:r>
      <w:r w:rsidRPr="001C6078">
        <w:rPr>
          <w:rFonts w:eastAsia="Times"/>
        </w:rPr>
        <w:t>The demand varies throughout the day depending on what electric equipment is running concurrently.</w:t>
      </w:r>
      <w:r w:rsidR="00A80D2D">
        <w:rPr>
          <w:rFonts w:eastAsia="Times"/>
        </w:rPr>
        <w:t xml:space="preserve"> </w:t>
      </w:r>
      <w:r w:rsidRPr="001C6078">
        <w:rPr>
          <w:rFonts w:eastAsia="Times"/>
        </w:rPr>
        <w:t>The electric company typically measures the demand in 15-minute intervals.</w:t>
      </w:r>
      <w:r w:rsidR="00017860" w:rsidRPr="001C6078">
        <w:rPr>
          <w:rFonts w:eastAsia="Times"/>
        </w:rPr>
        <w:t xml:space="preserve"> </w:t>
      </w:r>
      <w:r w:rsidRPr="001C6078">
        <w:rPr>
          <w:rFonts w:eastAsia="Times"/>
        </w:rPr>
        <w:t>The maximum</w:t>
      </w:r>
      <w:r w:rsidR="00017860" w:rsidRPr="001C6078">
        <w:rPr>
          <w:rFonts w:eastAsia="Times"/>
        </w:rPr>
        <w:t xml:space="preserve"> </w:t>
      </w:r>
      <w:r w:rsidRPr="001C6078">
        <w:rPr>
          <w:rFonts w:eastAsia="Times"/>
        </w:rPr>
        <w:t>demand recorded in the month sets the demand rate (up to $20 or more per kW) to be applied to the electricity bill for the entire month</w:t>
      </w:r>
      <w:r w:rsidR="00017860" w:rsidRPr="001C6078">
        <w:rPr>
          <w:rFonts w:eastAsia="Times"/>
        </w:rPr>
        <w:t xml:space="preserve"> or year</w:t>
      </w:r>
      <w:r w:rsidRPr="001C6078">
        <w:rPr>
          <w:rFonts w:eastAsia="Times"/>
        </w:rPr>
        <w:t>.</w:t>
      </w:r>
      <w:r w:rsidR="00017860" w:rsidRPr="001C6078">
        <w:rPr>
          <w:rFonts w:eastAsia="Times"/>
        </w:rPr>
        <w:t xml:space="preserve"> </w:t>
      </w:r>
      <w:r w:rsidR="001C6078">
        <w:rPr>
          <w:rFonts w:eastAsia="Times"/>
        </w:rPr>
        <w:t>This effectively means the</w:t>
      </w:r>
      <w:r w:rsidRPr="001C6078">
        <w:rPr>
          <w:rFonts w:eastAsia="Times"/>
        </w:rPr>
        <w:t xml:space="preserve"> electricity utility</w:t>
      </w:r>
      <w:r w:rsidR="001C6078">
        <w:rPr>
          <w:rFonts w:eastAsia="Times"/>
        </w:rPr>
        <w:t xml:space="preserve"> </w:t>
      </w:r>
      <w:r w:rsidRPr="001C6078">
        <w:rPr>
          <w:rFonts w:eastAsia="Times"/>
        </w:rPr>
        <w:t>finances its investment in supplying the required power to the foundry. If the foundry has its own transformer, it may negotiate a discount.</w:t>
      </w:r>
      <w:r w:rsidR="00017860" w:rsidRPr="001C6078">
        <w:rPr>
          <w:rFonts w:eastAsia="Times"/>
        </w:rPr>
        <w:t xml:space="preserve"> </w:t>
      </w:r>
      <w:r w:rsidRPr="001C6078">
        <w:rPr>
          <w:rFonts w:eastAsia="Times"/>
        </w:rPr>
        <w:t>Some billing practices obscure the penalties involved. For example, if the demand charge combines the monthly demand with a percentage of maximum monthly demand in the past 12 m</w:t>
      </w:r>
      <w:r w:rsidR="001C6078">
        <w:rPr>
          <w:rFonts w:eastAsia="Times"/>
        </w:rPr>
        <w:t>onths, then a foundry is penalis</w:t>
      </w:r>
      <w:r w:rsidRPr="001C6078">
        <w:rPr>
          <w:rFonts w:eastAsia="Times"/>
        </w:rPr>
        <w:t>ed when no production takes place (holidays or poor business).</w:t>
      </w:r>
    </w:p>
    <w:p w:rsidR="00C326A0" w:rsidRDefault="00C326A0">
      <w:pPr>
        <w:rPr>
          <w:rFonts w:asciiTheme="minorHAnsi" w:eastAsia="Times" w:hAnsiTheme="minorHAnsi" w:cs="Bembo-Italic"/>
          <w:iCs/>
          <w:sz w:val="22"/>
          <w:szCs w:val="22"/>
        </w:rPr>
      </w:pPr>
      <w:r>
        <w:rPr>
          <w:rFonts w:eastAsia="Times" w:cs="Bembo-Italic"/>
          <w:iCs/>
        </w:rPr>
        <w:br w:type="page"/>
      </w:r>
    </w:p>
    <w:p w:rsidR="007679E8" w:rsidRPr="001C6078" w:rsidRDefault="001C6078" w:rsidP="00837882">
      <w:pPr>
        <w:pStyle w:val="Paragraph"/>
        <w:rPr>
          <w:rFonts w:eastAsia="Times" w:cs="Bembo-Italic"/>
          <w:iCs/>
        </w:rPr>
      </w:pPr>
      <w:r>
        <w:rPr>
          <w:rFonts w:eastAsia="Times" w:cs="Bembo-Italic"/>
          <w:iCs/>
        </w:rPr>
        <w:lastRenderedPageBreak/>
        <w:t>Savings can be achieved by:</w:t>
      </w:r>
    </w:p>
    <w:p w:rsidR="007679E8" w:rsidRPr="001C6078" w:rsidRDefault="00013083" w:rsidP="00A80D2D">
      <w:pPr>
        <w:pStyle w:val="Paragraph"/>
        <w:numPr>
          <w:ilvl w:val="0"/>
          <w:numId w:val="13"/>
        </w:numPr>
        <w:rPr>
          <w:rFonts w:eastAsia="Times" w:cs="Bembo"/>
          <w:noProof w:val="0"/>
        </w:rPr>
      </w:pPr>
      <w:r>
        <w:rPr>
          <w:rFonts w:eastAsia="Times" w:cs="Bembo"/>
          <w:b/>
          <w:noProof w:val="0"/>
        </w:rPr>
        <w:t>r</w:t>
      </w:r>
      <w:r w:rsidR="007679E8" w:rsidRPr="001C6078">
        <w:rPr>
          <w:rFonts w:eastAsia="Times" w:cs="Bembo"/>
          <w:b/>
          <w:noProof w:val="0"/>
        </w:rPr>
        <w:t>educ</w:t>
      </w:r>
      <w:r>
        <w:rPr>
          <w:rFonts w:eastAsia="Times" w:cs="Bembo"/>
          <w:b/>
          <w:noProof w:val="0"/>
        </w:rPr>
        <w:t>ing</w:t>
      </w:r>
      <w:r w:rsidR="007679E8" w:rsidRPr="001C6078">
        <w:rPr>
          <w:rFonts w:eastAsia="Times" w:cs="Bembo"/>
          <w:b/>
          <w:noProof w:val="0"/>
        </w:rPr>
        <w:t xml:space="preserve"> peak demand:</w:t>
      </w:r>
    </w:p>
    <w:p w:rsidR="007679E8" w:rsidRPr="001C6078" w:rsidRDefault="001B1622" w:rsidP="00A80D2D">
      <w:pPr>
        <w:numPr>
          <w:ilvl w:val="1"/>
          <w:numId w:val="13"/>
        </w:numPr>
        <w:autoSpaceDE w:val="0"/>
        <w:autoSpaceDN w:val="0"/>
        <w:adjustRightInd w:val="0"/>
        <w:rPr>
          <w:rFonts w:asciiTheme="minorHAnsi" w:eastAsia="Times" w:hAnsiTheme="minorHAnsi" w:cs="Bembo"/>
          <w:noProof w:val="0"/>
          <w:sz w:val="22"/>
          <w:szCs w:val="22"/>
        </w:rPr>
      </w:pPr>
      <w:r>
        <w:rPr>
          <w:rFonts w:asciiTheme="minorHAnsi" w:eastAsia="Times" w:hAnsiTheme="minorHAnsi" w:cs="Bembo"/>
          <w:noProof w:val="0"/>
          <w:sz w:val="22"/>
          <w:szCs w:val="22"/>
        </w:rPr>
        <w:t>load-shedding, s</w:t>
      </w:r>
      <w:r w:rsidRPr="001C6078">
        <w:rPr>
          <w:rFonts w:asciiTheme="minorHAnsi" w:eastAsia="Times" w:hAnsiTheme="minorHAnsi" w:cs="Bembo"/>
          <w:noProof w:val="0"/>
          <w:sz w:val="22"/>
          <w:szCs w:val="22"/>
        </w:rPr>
        <w:t>witching off non-essential electrical equipment</w:t>
      </w:r>
    </w:p>
    <w:p w:rsidR="007679E8" w:rsidRPr="001C6078" w:rsidRDefault="001B1622" w:rsidP="00A80D2D">
      <w:pPr>
        <w:numPr>
          <w:ilvl w:val="1"/>
          <w:numId w:val="13"/>
        </w:numPr>
        <w:autoSpaceDE w:val="0"/>
        <w:autoSpaceDN w:val="0"/>
        <w:adjustRightInd w:val="0"/>
        <w:rPr>
          <w:rFonts w:asciiTheme="minorHAnsi" w:eastAsia="Times" w:hAnsiTheme="minorHAnsi" w:cs="Bembo"/>
          <w:noProof w:val="0"/>
          <w:sz w:val="22"/>
          <w:szCs w:val="22"/>
        </w:rPr>
      </w:pPr>
      <w:r>
        <w:rPr>
          <w:rFonts w:asciiTheme="minorHAnsi" w:eastAsia="Times" w:hAnsiTheme="minorHAnsi" w:cs="Bembo"/>
          <w:noProof w:val="0"/>
          <w:sz w:val="22"/>
          <w:szCs w:val="22"/>
        </w:rPr>
        <w:t xml:space="preserve">load-shifting, </w:t>
      </w:r>
      <w:r w:rsidRPr="001C6078">
        <w:rPr>
          <w:rFonts w:asciiTheme="minorHAnsi" w:eastAsia="Times" w:hAnsiTheme="minorHAnsi" w:cs="Bembo"/>
          <w:noProof w:val="0"/>
          <w:sz w:val="22"/>
          <w:szCs w:val="22"/>
        </w:rPr>
        <w:t>rescheduling operations so that some activities take place during off-peak periods</w:t>
      </w:r>
    </w:p>
    <w:p w:rsidR="007679E8" w:rsidRPr="001C6078" w:rsidRDefault="001B1622" w:rsidP="00A80D2D">
      <w:pPr>
        <w:numPr>
          <w:ilvl w:val="1"/>
          <w:numId w:val="13"/>
        </w:numPr>
        <w:autoSpaceDE w:val="0"/>
        <w:autoSpaceDN w:val="0"/>
        <w:adjustRightInd w:val="0"/>
        <w:rPr>
          <w:rFonts w:asciiTheme="minorHAnsi" w:eastAsia="Times" w:hAnsiTheme="minorHAnsi" w:cs="Bembo"/>
          <w:noProof w:val="0"/>
          <w:sz w:val="22"/>
          <w:szCs w:val="22"/>
        </w:rPr>
      </w:pPr>
      <w:r w:rsidRPr="001C6078">
        <w:rPr>
          <w:rFonts w:asciiTheme="minorHAnsi" w:eastAsia="Times" w:hAnsiTheme="minorHAnsi" w:cs="Bembo"/>
          <w:noProof w:val="0"/>
          <w:sz w:val="22"/>
          <w:szCs w:val="22"/>
        </w:rPr>
        <w:t>process improvements, which reduce electrical power requirements</w:t>
      </w:r>
    </w:p>
    <w:p w:rsidR="007679E8" w:rsidRPr="001C6078" w:rsidRDefault="001B1622" w:rsidP="00A80D2D">
      <w:pPr>
        <w:numPr>
          <w:ilvl w:val="1"/>
          <w:numId w:val="13"/>
        </w:numPr>
        <w:autoSpaceDE w:val="0"/>
        <w:autoSpaceDN w:val="0"/>
        <w:adjustRightInd w:val="0"/>
        <w:rPr>
          <w:rFonts w:asciiTheme="minorHAnsi" w:eastAsia="Times" w:hAnsiTheme="minorHAnsi" w:cs="Bembo"/>
          <w:noProof w:val="0"/>
          <w:sz w:val="22"/>
          <w:szCs w:val="22"/>
        </w:rPr>
      </w:pPr>
      <w:proofErr w:type="gramStart"/>
      <w:r w:rsidRPr="001C6078">
        <w:rPr>
          <w:rFonts w:asciiTheme="minorHAnsi" w:eastAsia="Times" w:hAnsiTheme="minorHAnsi" w:cs="Bembo"/>
          <w:noProof w:val="0"/>
          <w:sz w:val="22"/>
          <w:szCs w:val="22"/>
        </w:rPr>
        <w:t>negotiating</w:t>
      </w:r>
      <w:proofErr w:type="gramEnd"/>
      <w:r w:rsidR="007679E8" w:rsidRPr="001C6078">
        <w:rPr>
          <w:rFonts w:asciiTheme="minorHAnsi" w:eastAsia="Times" w:hAnsiTheme="minorHAnsi" w:cs="Bembo"/>
          <w:noProof w:val="0"/>
          <w:sz w:val="22"/>
          <w:szCs w:val="22"/>
        </w:rPr>
        <w:t>, if the utility all</w:t>
      </w:r>
      <w:r>
        <w:rPr>
          <w:rFonts w:asciiTheme="minorHAnsi" w:eastAsia="Times" w:hAnsiTheme="minorHAnsi" w:cs="Bembo"/>
          <w:noProof w:val="0"/>
          <w:sz w:val="22"/>
          <w:szCs w:val="22"/>
        </w:rPr>
        <w:t>ows it, for a 60-minute demand-s</w:t>
      </w:r>
      <w:r w:rsidR="007679E8" w:rsidRPr="001C6078">
        <w:rPr>
          <w:rFonts w:asciiTheme="minorHAnsi" w:eastAsia="Times" w:hAnsiTheme="minorHAnsi" w:cs="Bembo"/>
          <w:noProof w:val="0"/>
          <w:sz w:val="22"/>
          <w:szCs w:val="22"/>
        </w:rPr>
        <w:t>etting period, instead of the 15-minute period.</w:t>
      </w:r>
    </w:p>
    <w:p w:rsidR="007679E8" w:rsidRPr="001C6078" w:rsidRDefault="00013083" w:rsidP="00A80D2D">
      <w:pPr>
        <w:pStyle w:val="Paragraph"/>
        <w:numPr>
          <w:ilvl w:val="0"/>
          <w:numId w:val="13"/>
        </w:numPr>
        <w:rPr>
          <w:rFonts w:eastAsia="Times" w:cs="Bembo"/>
          <w:noProof w:val="0"/>
        </w:rPr>
      </w:pPr>
      <w:proofErr w:type="gramStart"/>
      <w:r>
        <w:rPr>
          <w:rFonts w:eastAsia="Times" w:cs="Bembo"/>
          <w:b/>
          <w:noProof w:val="0"/>
        </w:rPr>
        <w:t>c</w:t>
      </w:r>
      <w:r w:rsidR="007679E8" w:rsidRPr="001C6078">
        <w:rPr>
          <w:rFonts w:eastAsia="Times" w:cs="Bembo"/>
          <w:b/>
          <w:noProof w:val="0"/>
        </w:rPr>
        <w:t>ontrol</w:t>
      </w:r>
      <w:r>
        <w:rPr>
          <w:rFonts w:eastAsia="Times" w:cs="Bembo"/>
          <w:b/>
          <w:noProof w:val="0"/>
        </w:rPr>
        <w:t>ling</w:t>
      </w:r>
      <w:proofErr w:type="gramEnd"/>
      <w:r w:rsidR="007679E8" w:rsidRPr="001C6078">
        <w:rPr>
          <w:rFonts w:eastAsia="Times" w:cs="Bembo"/>
          <w:b/>
          <w:noProof w:val="0"/>
        </w:rPr>
        <w:t xml:space="preserve"> demand with demand controllers</w:t>
      </w:r>
      <w:r w:rsidR="001B1622">
        <w:rPr>
          <w:rFonts w:eastAsia="Times" w:cs="Bembo"/>
          <w:b/>
          <w:noProof w:val="0"/>
        </w:rPr>
        <w:t>:</w:t>
      </w:r>
      <w:r w:rsidR="00A80D2D">
        <w:rPr>
          <w:rFonts w:eastAsia="Times" w:cs="Bembo"/>
          <w:b/>
          <w:noProof w:val="0"/>
        </w:rPr>
        <w:br/>
      </w:r>
      <w:r w:rsidR="00394CFC">
        <w:rPr>
          <w:rFonts w:eastAsia="Times" w:cs="Bembo"/>
          <w:noProof w:val="0"/>
        </w:rPr>
        <w:t>D</w:t>
      </w:r>
      <w:r w:rsidR="007679E8" w:rsidRPr="001C6078">
        <w:rPr>
          <w:rFonts w:eastAsia="Times" w:cs="Bembo"/>
          <w:noProof w:val="0"/>
        </w:rPr>
        <w:t>evices that reduce potential peaks and make a foundry’s operations add load to the low spots. If you already have a demand controller, examine its function relative to a frequency of load factor peaks. Demand can also be controlled in multi-furnace operations by staggering operations and using new-generation power packs, which can split the power between the furnaces to control the demand effectively.</w:t>
      </w:r>
    </w:p>
    <w:p w:rsidR="001C6078" w:rsidRPr="001C6078" w:rsidRDefault="007679E8" w:rsidP="001B1622">
      <w:pPr>
        <w:pStyle w:val="Paragraph"/>
        <w:numPr>
          <w:ilvl w:val="1"/>
          <w:numId w:val="6"/>
        </w:numPr>
        <w:ind w:left="426" w:hanging="426"/>
        <w:rPr>
          <w:rFonts w:eastAsia="Times"/>
        </w:rPr>
      </w:pPr>
      <w:r w:rsidRPr="001C6078">
        <w:rPr>
          <w:rFonts w:eastAsia="Times" w:cs="Bembo-Bold"/>
          <w:b/>
          <w:bCs/>
        </w:rPr>
        <w:t xml:space="preserve">Power factor charge </w:t>
      </w:r>
      <w:r w:rsidRPr="001C6078">
        <w:rPr>
          <w:rFonts w:eastAsia="Times"/>
        </w:rPr>
        <w:t>– a penalty that the electric company char</w:t>
      </w:r>
      <w:r w:rsidR="001C6078">
        <w:rPr>
          <w:rFonts w:eastAsia="Times"/>
        </w:rPr>
        <w:t>ges to customers for poor utilis</w:t>
      </w:r>
      <w:r w:rsidRPr="001C6078">
        <w:rPr>
          <w:rFonts w:eastAsia="Times"/>
        </w:rPr>
        <w:t>ation of the power supplied</w:t>
      </w:r>
      <w:r w:rsidR="00013083">
        <w:rPr>
          <w:rFonts w:eastAsia="Times"/>
        </w:rPr>
        <w:t xml:space="preserve">. </w:t>
      </w:r>
      <w:r w:rsidR="00394CFC">
        <w:rPr>
          <w:rFonts w:eastAsia="Times"/>
        </w:rPr>
        <w:t>The charge acts a</w:t>
      </w:r>
      <w:r w:rsidRPr="001C6078">
        <w:rPr>
          <w:rFonts w:eastAsia="Times"/>
        </w:rPr>
        <w:t>s a measure of</w:t>
      </w:r>
      <w:r w:rsidR="00394CFC">
        <w:rPr>
          <w:rFonts w:eastAsia="Times"/>
        </w:rPr>
        <w:t xml:space="preserve"> </w:t>
      </w:r>
      <w:r w:rsidRPr="001C6078">
        <w:rPr>
          <w:rFonts w:eastAsia="Times"/>
        </w:rPr>
        <w:t>efficiency. It is expressed as a ratio of the power passing through a circuit (apparently supplied, in kVA), to actual power used (work performed, in</w:t>
      </w:r>
      <w:r w:rsidR="001B1622">
        <w:rPr>
          <w:rFonts w:eastAsia="Times"/>
        </w:rPr>
        <w:t xml:space="preserve"> </w:t>
      </w:r>
      <w:r w:rsidR="001C6078">
        <w:rPr>
          <w:rFonts w:eastAsia="Times"/>
        </w:rPr>
        <w:t>kW). Utilities penalis</w:t>
      </w:r>
      <w:r w:rsidRPr="001C6078">
        <w:rPr>
          <w:rFonts w:eastAsia="Times"/>
        </w:rPr>
        <w:t>e customers with a power factor less than a set level, usually 90%. Deregulation will likely increase this and other penalties.</w:t>
      </w:r>
      <w:r w:rsidR="001B1622">
        <w:rPr>
          <w:rFonts w:eastAsia="Times"/>
        </w:rPr>
        <w:t xml:space="preserve"> </w:t>
      </w:r>
      <w:r w:rsidRPr="001C6078">
        <w:rPr>
          <w:rFonts w:eastAsia="Times"/>
        </w:rPr>
        <w:t xml:space="preserve">Sometimes, kVA is used in the capacity </w:t>
      </w:r>
      <w:r w:rsidR="00486E0C" w:rsidRPr="001C6078">
        <w:rPr>
          <w:rFonts w:eastAsia="Times"/>
        </w:rPr>
        <w:t>charge. This</w:t>
      </w:r>
      <w:r w:rsidRPr="001C6078">
        <w:rPr>
          <w:rFonts w:eastAsia="Times"/>
        </w:rPr>
        <w:t xml:space="preserve"> is a charge intended as payment for the costs of supplying the service to the site, and represents the</w:t>
      </w:r>
      <w:r w:rsidR="001B1622">
        <w:rPr>
          <w:rFonts w:eastAsia="Times"/>
        </w:rPr>
        <w:t xml:space="preserve"> </w:t>
      </w:r>
      <w:r w:rsidRPr="001C6078">
        <w:rPr>
          <w:rFonts w:eastAsia="Times"/>
        </w:rPr>
        <w:t>maximum demand from the supply system.</w:t>
      </w:r>
    </w:p>
    <w:p w:rsidR="007679E8" w:rsidRPr="001C6078" w:rsidRDefault="001C6078" w:rsidP="00013083">
      <w:pPr>
        <w:pStyle w:val="Paragraph"/>
        <w:rPr>
          <w:rFonts w:eastAsia="Times"/>
        </w:rPr>
      </w:pPr>
      <w:r>
        <w:rPr>
          <w:rFonts w:eastAsia="Times"/>
        </w:rPr>
        <w:t>Savings can be achieved by:</w:t>
      </w:r>
    </w:p>
    <w:p w:rsidR="003556FB" w:rsidRDefault="00013083" w:rsidP="00A80D2D">
      <w:pPr>
        <w:pStyle w:val="Paragraph"/>
        <w:numPr>
          <w:ilvl w:val="0"/>
          <w:numId w:val="13"/>
        </w:numPr>
        <w:rPr>
          <w:rFonts w:eastAsia="Times" w:cs="Bembo"/>
          <w:noProof w:val="0"/>
        </w:rPr>
      </w:pPr>
      <w:r>
        <w:rPr>
          <w:rFonts w:eastAsia="Times" w:cs="Bembo"/>
          <w:b/>
          <w:noProof w:val="0"/>
        </w:rPr>
        <w:t>p</w:t>
      </w:r>
      <w:r w:rsidR="007679E8" w:rsidRPr="001C6078">
        <w:rPr>
          <w:rFonts w:eastAsia="Times" w:cs="Bembo"/>
          <w:b/>
          <w:noProof w:val="0"/>
        </w:rPr>
        <w:t xml:space="preserve">ower factor </w:t>
      </w:r>
      <w:r>
        <w:rPr>
          <w:rFonts w:eastAsia="Times" w:cs="Bembo"/>
          <w:b/>
          <w:noProof w:val="0"/>
        </w:rPr>
        <w:t>i</w:t>
      </w:r>
      <w:r w:rsidR="001C6078">
        <w:rPr>
          <w:rFonts w:eastAsia="Times" w:cs="Bembo"/>
          <w:b/>
          <w:noProof w:val="0"/>
        </w:rPr>
        <w:t>mprovements</w:t>
      </w:r>
      <w:r w:rsidR="007679E8" w:rsidRPr="001C6078">
        <w:rPr>
          <w:rFonts w:eastAsia="Times" w:cs="Bembo"/>
          <w:b/>
          <w:noProof w:val="0"/>
        </w:rPr>
        <w:t>:</w:t>
      </w:r>
      <w:r w:rsidR="001C6078">
        <w:rPr>
          <w:rFonts w:eastAsia="Times" w:cs="Bembo"/>
          <w:b/>
          <w:noProof w:val="0"/>
        </w:rPr>
        <w:t xml:space="preserve"> </w:t>
      </w:r>
      <w:r w:rsidR="00394CFC">
        <w:rPr>
          <w:rFonts w:eastAsia="Times" w:cs="Bembo"/>
          <w:noProof w:val="0"/>
        </w:rPr>
        <w:t>c</w:t>
      </w:r>
      <w:r w:rsidR="007679E8" w:rsidRPr="003556FB">
        <w:rPr>
          <w:rFonts w:eastAsia="Times" w:cs="Bembo"/>
          <w:noProof w:val="0"/>
        </w:rPr>
        <w:t>ontrolling items that generate inductive loads, such as transformers, lighting ballasts,</w:t>
      </w:r>
      <w:r>
        <w:rPr>
          <w:rFonts w:eastAsia="Times" w:cs="Bembo"/>
          <w:noProof w:val="0"/>
        </w:rPr>
        <w:t xml:space="preserve"> and </w:t>
      </w:r>
      <w:r w:rsidR="007679E8" w:rsidRPr="003556FB">
        <w:rPr>
          <w:rFonts w:eastAsia="Times" w:cs="Bembo"/>
          <w:noProof w:val="0"/>
        </w:rPr>
        <w:t>electric induction motors (especially under-loaded ones</w:t>
      </w:r>
      <w:r w:rsidR="003556FB">
        <w:rPr>
          <w:rFonts w:eastAsia="Times" w:cs="Bembo"/>
          <w:noProof w:val="0"/>
        </w:rPr>
        <w:t>)</w:t>
      </w:r>
    </w:p>
    <w:p w:rsidR="007679E8" w:rsidRPr="001C6078" w:rsidRDefault="00013083" w:rsidP="00A80D2D">
      <w:pPr>
        <w:pStyle w:val="Paragraph"/>
        <w:numPr>
          <w:ilvl w:val="0"/>
          <w:numId w:val="13"/>
        </w:numPr>
        <w:rPr>
          <w:rFonts w:eastAsia="Times" w:cs="Bembo"/>
          <w:noProof w:val="0"/>
        </w:rPr>
      </w:pPr>
      <w:proofErr w:type="gramStart"/>
      <w:r>
        <w:rPr>
          <w:rFonts w:eastAsia="Times" w:cs="Bembo"/>
          <w:b/>
          <w:noProof w:val="0"/>
        </w:rPr>
        <w:t>i</w:t>
      </w:r>
      <w:r w:rsidR="007679E8" w:rsidRPr="003556FB">
        <w:rPr>
          <w:rFonts w:eastAsia="Times" w:cs="Bembo"/>
          <w:b/>
          <w:noProof w:val="0"/>
        </w:rPr>
        <w:t>nstalling</w:t>
      </w:r>
      <w:proofErr w:type="gramEnd"/>
      <w:r w:rsidR="007679E8" w:rsidRPr="003556FB">
        <w:rPr>
          <w:rFonts w:eastAsia="Times" w:cs="Bembo"/>
          <w:b/>
          <w:noProof w:val="0"/>
        </w:rPr>
        <w:t xml:space="preserve"> capacitors in the electric </w:t>
      </w:r>
      <w:r w:rsidR="003556FB">
        <w:rPr>
          <w:rFonts w:eastAsia="Times" w:cs="Bembo"/>
          <w:b/>
          <w:noProof w:val="0"/>
        </w:rPr>
        <w:t>system</w:t>
      </w:r>
      <w:r>
        <w:rPr>
          <w:rFonts w:eastAsia="Times" w:cs="Bembo"/>
          <w:b/>
          <w:noProof w:val="0"/>
        </w:rPr>
        <w:t>:</w:t>
      </w:r>
      <w:r w:rsidR="00486E0C" w:rsidRPr="003556FB">
        <w:rPr>
          <w:rFonts w:eastAsia="Times" w:cs="Bembo"/>
          <w:b/>
          <w:noProof w:val="0"/>
        </w:rPr>
        <w:t xml:space="preserve"> </w:t>
      </w:r>
      <w:r>
        <w:rPr>
          <w:rFonts w:eastAsia="Times" w:cs="Bembo"/>
          <w:noProof w:val="0"/>
        </w:rPr>
        <w:t>t</w:t>
      </w:r>
      <w:r w:rsidR="00486E0C" w:rsidRPr="003556FB">
        <w:rPr>
          <w:rFonts w:eastAsia="Times" w:cs="Bembo"/>
          <w:noProof w:val="0"/>
        </w:rPr>
        <w:t>he</w:t>
      </w:r>
      <w:r w:rsidR="007679E8" w:rsidRPr="003556FB">
        <w:rPr>
          <w:rFonts w:eastAsia="Times" w:cs="Bembo"/>
          <w:noProof w:val="0"/>
        </w:rPr>
        <w:t xml:space="preserve"> </w:t>
      </w:r>
      <w:r w:rsidR="007679E8" w:rsidRPr="001C6078">
        <w:rPr>
          <w:rFonts w:eastAsia="Times" w:cs="Bembo"/>
          <w:noProof w:val="0"/>
        </w:rPr>
        <w:t>thing to watch for is that harmonics from electric furnace AC-DC-AC converters may trip or destroy the protection.</w:t>
      </w:r>
    </w:p>
    <w:p w:rsidR="007679E8" w:rsidRDefault="007679E8" w:rsidP="00013083">
      <w:pPr>
        <w:pStyle w:val="Paragraph"/>
        <w:numPr>
          <w:ilvl w:val="1"/>
          <w:numId w:val="6"/>
        </w:numPr>
        <w:ind w:left="426" w:hanging="426"/>
        <w:rPr>
          <w:rFonts w:eastAsia="Times"/>
        </w:rPr>
      </w:pPr>
      <w:r w:rsidRPr="001C6078">
        <w:rPr>
          <w:rFonts w:eastAsia="Times" w:cs="Bembo-Bold"/>
          <w:b/>
          <w:bCs/>
        </w:rPr>
        <w:t xml:space="preserve">Inducements </w:t>
      </w:r>
      <w:r w:rsidR="003556FB">
        <w:rPr>
          <w:rFonts w:eastAsia="Times"/>
        </w:rPr>
        <w:t xml:space="preserve">– </w:t>
      </w:r>
      <w:r w:rsidR="00013083">
        <w:rPr>
          <w:rFonts w:eastAsia="Times"/>
        </w:rPr>
        <w:t>o</w:t>
      </w:r>
      <w:r w:rsidRPr="001C6078">
        <w:rPr>
          <w:rFonts w:eastAsia="Times"/>
        </w:rPr>
        <w:t xml:space="preserve">ffering different rates for blocks of consumption based on demand (e.g. 9¢/kWh for the first 100 000 kWh </w:t>
      </w:r>
      <w:r w:rsidRPr="001C6078">
        <w:rPr>
          <w:rFonts w:eastAsia="Times" w:cs="MathematicalPi-Four"/>
        </w:rPr>
        <w:t xml:space="preserve">_ </w:t>
      </w:r>
      <w:r w:rsidRPr="001C6078">
        <w:rPr>
          <w:rFonts w:eastAsia="Times"/>
        </w:rPr>
        <w:t>demand, 6¢/kWh</w:t>
      </w:r>
      <w:r w:rsidR="00013083">
        <w:rPr>
          <w:rFonts w:eastAsia="Times"/>
        </w:rPr>
        <w:t xml:space="preserve"> </w:t>
      </w:r>
      <w:r w:rsidRPr="001C6078">
        <w:rPr>
          <w:rFonts w:eastAsia="Times"/>
        </w:rPr>
        <w:t>for the ne</w:t>
      </w:r>
      <w:r w:rsidR="003556FB">
        <w:rPr>
          <w:rFonts w:eastAsia="Times"/>
        </w:rPr>
        <w:t>xt block,</w:t>
      </w:r>
      <w:r w:rsidR="00013083">
        <w:rPr>
          <w:rFonts w:eastAsia="Times"/>
        </w:rPr>
        <w:t xml:space="preserve"> and so on</w:t>
      </w:r>
      <w:r w:rsidR="003556FB">
        <w:rPr>
          <w:rFonts w:eastAsia="Times"/>
        </w:rPr>
        <w:t>).This may penalis</w:t>
      </w:r>
      <w:r w:rsidRPr="001C6078">
        <w:rPr>
          <w:rFonts w:eastAsia="Times"/>
        </w:rPr>
        <w:t>e single-shift operations and those with a poor load factor. Load factor is the monthly consumption divided by</w:t>
      </w:r>
      <w:r w:rsidR="00013083">
        <w:rPr>
          <w:rFonts w:eastAsia="Times"/>
        </w:rPr>
        <w:t xml:space="preserve"> </w:t>
      </w:r>
      <w:r w:rsidRPr="001C6078">
        <w:rPr>
          <w:rFonts w:eastAsia="Times"/>
        </w:rPr>
        <w:t>the product of maximum demand and the billing-period hours. At other times, utilities may offer better rates for off-peak hours in an effort</w:t>
      </w:r>
      <w:r w:rsidR="00013083">
        <w:rPr>
          <w:rFonts w:eastAsia="Times"/>
        </w:rPr>
        <w:t xml:space="preserve"> </w:t>
      </w:r>
      <w:r w:rsidRPr="001C6078">
        <w:rPr>
          <w:rFonts w:eastAsia="Times"/>
        </w:rPr>
        <w:t>to encourage a foundry to switch to melting at night, for example.</w:t>
      </w:r>
    </w:p>
    <w:p w:rsidR="00DB127C" w:rsidRDefault="00DB127C">
      <w:pPr>
        <w:rPr>
          <w:rFonts w:asciiTheme="minorHAnsi" w:eastAsia="Times" w:hAnsiTheme="minorHAnsi" w:cstheme="minorHAnsi"/>
          <w:sz w:val="22"/>
          <w:szCs w:val="22"/>
        </w:rPr>
      </w:pPr>
      <w:r>
        <w:rPr>
          <w:rFonts w:eastAsia="Times"/>
        </w:rPr>
        <w:br w:type="page"/>
      </w:r>
    </w:p>
    <w:p w:rsidR="003556FB" w:rsidRDefault="003556FB" w:rsidP="00013083">
      <w:pPr>
        <w:pStyle w:val="Paragraph"/>
        <w:rPr>
          <w:rFonts w:eastAsia="Times"/>
        </w:rPr>
      </w:pPr>
      <w:r>
        <w:rPr>
          <w:rFonts w:eastAsia="Times"/>
        </w:rPr>
        <w:lastRenderedPageBreak/>
        <w:t>Savings can be achieved by:</w:t>
      </w:r>
    </w:p>
    <w:p w:rsidR="007679E8" w:rsidRPr="003556FB" w:rsidRDefault="00013083" w:rsidP="00A80D2D">
      <w:pPr>
        <w:pStyle w:val="Paragraph"/>
        <w:numPr>
          <w:ilvl w:val="0"/>
          <w:numId w:val="13"/>
        </w:numPr>
        <w:rPr>
          <w:rFonts w:eastAsia="Times" w:cs="Bembo"/>
          <w:b/>
          <w:noProof w:val="0"/>
        </w:rPr>
      </w:pPr>
      <w:r>
        <w:rPr>
          <w:rFonts w:eastAsia="Times" w:cs="Bembo"/>
          <w:b/>
          <w:noProof w:val="0"/>
        </w:rPr>
        <w:t>e</w:t>
      </w:r>
      <w:r w:rsidR="007679E8" w:rsidRPr="003556FB">
        <w:rPr>
          <w:rFonts w:eastAsia="Times" w:cs="Bembo"/>
          <w:b/>
          <w:noProof w:val="0"/>
        </w:rPr>
        <w:t>xamin</w:t>
      </w:r>
      <w:r>
        <w:rPr>
          <w:rFonts w:eastAsia="Times" w:cs="Bembo"/>
          <w:b/>
          <w:noProof w:val="0"/>
        </w:rPr>
        <w:t>ing</w:t>
      </w:r>
      <w:r w:rsidR="007679E8" w:rsidRPr="003556FB">
        <w:rPr>
          <w:rFonts w:eastAsia="Times" w:cs="Bembo"/>
          <w:b/>
          <w:noProof w:val="0"/>
        </w:rPr>
        <w:t xml:space="preserve"> your electrici</w:t>
      </w:r>
      <w:r w:rsidR="00A80D2D">
        <w:rPr>
          <w:rFonts w:eastAsia="Times" w:cs="Bembo"/>
          <w:b/>
          <w:noProof w:val="0"/>
        </w:rPr>
        <w:t>ty bill and try to renegotiate</w:t>
      </w:r>
    </w:p>
    <w:p w:rsidR="007679E8" w:rsidRPr="001C6078" w:rsidRDefault="00013083" w:rsidP="00A80D2D">
      <w:pPr>
        <w:pStyle w:val="Paragraph"/>
        <w:numPr>
          <w:ilvl w:val="0"/>
          <w:numId w:val="13"/>
        </w:numPr>
        <w:rPr>
          <w:rFonts w:eastAsia="Times" w:cs="Bembo"/>
          <w:noProof w:val="0"/>
        </w:rPr>
      </w:pPr>
      <w:proofErr w:type="gramStart"/>
      <w:r>
        <w:rPr>
          <w:rFonts w:eastAsia="Times" w:cs="Bembo"/>
          <w:b/>
          <w:noProof w:val="0"/>
        </w:rPr>
        <w:t>e</w:t>
      </w:r>
      <w:r w:rsidR="007679E8" w:rsidRPr="003556FB">
        <w:rPr>
          <w:rFonts w:eastAsia="Times" w:cs="Bembo"/>
          <w:b/>
          <w:noProof w:val="0"/>
        </w:rPr>
        <w:t>xamin</w:t>
      </w:r>
      <w:r>
        <w:rPr>
          <w:rFonts w:eastAsia="Times" w:cs="Bembo"/>
          <w:b/>
          <w:noProof w:val="0"/>
        </w:rPr>
        <w:t>ing</w:t>
      </w:r>
      <w:proofErr w:type="gramEnd"/>
      <w:r w:rsidR="007679E8" w:rsidRPr="003556FB">
        <w:rPr>
          <w:rFonts w:eastAsia="Times" w:cs="Bembo"/>
          <w:b/>
          <w:noProof w:val="0"/>
        </w:rPr>
        <w:t xml:space="preserve"> the economics of </w:t>
      </w:r>
      <w:r w:rsidR="003556FB" w:rsidRPr="003556FB">
        <w:rPr>
          <w:rFonts w:eastAsia="Times" w:cs="Bembo"/>
          <w:b/>
          <w:noProof w:val="0"/>
        </w:rPr>
        <w:t>a different production schedule:</w:t>
      </w:r>
      <w:r w:rsidR="003556FB">
        <w:rPr>
          <w:rFonts w:eastAsia="Times" w:cs="Bembo"/>
          <w:noProof w:val="0"/>
        </w:rPr>
        <w:t xml:space="preserve"> </w:t>
      </w:r>
      <w:r>
        <w:rPr>
          <w:rFonts w:eastAsia="Times" w:cs="Bembo"/>
          <w:noProof w:val="0"/>
        </w:rPr>
        <w:br/>
        <w:t>M</w:t>
      </w:r>
      <w:r w:rsidR="007679E8" w:rsidRPr="001C6078">
        <w:rPr>
          <w:rFonts w:eastAsia="Times" w:cs="Bembo"/>
          <w:noProof w:val="0"/>
        </w:rPr>
        <w:t>ost industrial and commercial facilities are billed for electricity according to a general-service rate schedule in which the customer pays for the peak power</w:t>
      </w:r>
      <w:r w:rsidR="003556FB">
        <w:rPr>
          <w:rFonts w:eastAsia="Times" w:cs="Bembo"/>
          <w:noProof w:val="0"/>
        </w:rPr>
        <w:t xml:space="preserve"> </w:t>
      </w:r>
      <w:r w:rsidR="007679E8" w:rsidRPr="001C6078">
        <w:rPr>
          <w:rFonts w:eastAsia="Times" w:cs="Bembo"/>
          <w:noProof w:val="0"/>
        </w:rPr>
        <w:t>demand (kW/kVA) and energy consumption (kWh). Most general-service rate structures also impose financial penalties on plants that have a low power factor.</w:t>
      </w:r>
    </w:p>
    <w:p w:rsidR="00A80D2D" w:rsidRDefault="007679E8" w:rsidP="00013083">
      <w:pPr>
        <w:pStyle w:val="Paragraph"/>
        <w:rPr>
          <w:rFonts w:eastAsia="Times"/>
        </w:rPr>
      </w:pPr>
      <w:r w:rsidRPr="001C6078">
        <w:rPr>
          <w:rFonts w:eastAsia="Times"/>
        </w:rPr>
        <w:t xml:space="preserve">Some utilities now offer their major customers </w:t>
      </w:r>
      <w:r w:rsidRPr="001C6078">
        <w:rPr>
          <w:rFonts w:eastAsia="Times" w:cs="Bembo-Italic"/>
          <w:i/>
          <w:iCs/>
        </w:rPr>
        <w:t>real-time pricing</w:t>
      </w:r>
      <w:r w:rsidRPr="001C6078">
        <w:rPr>
          <w:rFonts w:eastAsia="Times"/>
        </w:rPr>
        <w:t>, a scheme in which, each day, the utility gives the customer the rates proposed for each hour</w:t>
      </w:r>
      <w:r w:rsidR="003556FB">
        <w:rPr>
          <w:rFonts w:eastAsia="Times"/>
        </w:rPr>
        <w:t xml:space="preserve"> </w:t>
      </w:r>
      <w:r w:rsidRPr="001C6078">
        <w:rPr>
          <w:rFonts w:eastAsia="Times"/>
        </w:rPr>
        <w:t xml:space="preserve">of the following day. A large foundry in Ontario joined a real-time pricing program. Each afternoon, the foundry gets the price of kWh for the next day, starting at </w:t>
      </w:r>
      <w:r w:rsidR="00486E0C" w:rsidRPr="001C6078">
        <w:rPr>
          <w:rFonts w:eastAsia="Times"/>
        </w:rPr>
        <w:t>midnight. The</w:t>
      </w:r>
      <w:r w:rsidRPr="001C6078">
        <w:rPr>
          <w:rFonts w:eastAsia="Times"/>
        </w:rPr>
        <w:t xml:space="preserve"> operators enter the price into the system and then consider the quantities of iron in holding furnaces against the production schedule to decide on hour-by-hour usage targets. Since the power is (in this jurisdiction) at its most expensive between 10 am and 11 am and between 7 pm and 8 pm every day, they </w:t>
      </w:r>
      <w:r w:rsidR="003556FB">
        <w:rPr>
          <w:rFonts w:eastAsia="Times"/>
        </w:rPr>
        <w:t>schedule melting to suit, e</w:t>
      </w:r>
      <w:r w:rsidR="00A80D2D">
        <w:rPr>
          <w:rFonts w:eastAsia="Times"/>
        </w:rPr>
        <w:t>.</w:t>
      </w:r>
      <w:r w:rsidR="003556FB">
        <w:rPr>
          <w:rFonts w:eastAsia="Times"/>
        </w:rPr>
        <w:t xml:space="preserve">g. </w:t>
      </w:r>
      <w:r w:rsidRPr="001C6078">
        <w:rPr>
          <w:rFonts w:eastAsia="Times"/>
        </w:rPr>
        <w:t>shifting it to night melting, with corresponding reduction during the daytime.</w:t>
      </w:r>
    </w:p>
    <w:p w:rsidR="00324A44" w:rsidRPr="007679E8" w:rsidRDefault="00324A44" w:rsidP="00A80D2D">
      <w:pPr>
        <w:pStyle w:val="ContentsHeading1"/>
        <w:rPr>
          <w:rFonts w:ascii="Bembo" w:eastAsia="Times" w:hAnsi="Bembo" w:cs="Bembo"/>
          <w:noProof w:val="0"/>
          <w:sz w:val="22"/>
        </w:rPr>
      </w:pPr>
      <w:r w:rsidRPr="00EB593F">
        <w:br w:type="page"/>
      </w:r>
      <w:r w:rsidRPr="00EB593F">
        <w:lastRenderedPageBreak/>
        <w:t>Practice steps</w:t>
      </w:r>
      <w:bookmarkEnd w:id="2"/>
    </w:p>
    <w:tbl>
      <w:tblPr>
        <w:tblW w:w="1414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3333"/>
        <w:gridCol w:w="10809"/>
      </w:tblGrid>
      <w:tr w:rsidR="00324A44" w:rsidRPr="00EB593F" w:rsidTr="00054D69">
        <w:trPr>
          <w:cantSplit/>
          <w:trHeight w:val="382"/>
          <w:tblHeader/>
        </w:trPr>
        <w:tc>
          <w:tcPr>
            <w:tcW w:w="3333" w:type="dxa"/>
            <w:shd w:val="clear" w:color="auto" w:fill="5D0F68"/>
          </w:tcPr>
          <w:p w:rsidR="00324A44" w:rsidRPr="00EB593F" w:rsidRDefault="00324A44" w:rsidP="00A5162C">
            <w:pPr>
              <w:pStyle w:val="TableHeading"/>
            </w:pPr>
            <w:r w:rsidRPr="00EB593F">
              <w:t>Practice steps</w:t>
            </w:r>
          </w:p>
        </w:tc>
        <w:tc>
          <w:tcPr>
            <w:tcW w:w="10809" w:type="dxa"/>
            <w:shd w:val="clear" w:color="auto" w:fill="5D0F68"/>
          </w:tcPr>
          <w:p w:rsidR="00324A44" w:rsidRPr="00EB593F" w:rsidRDefault="00324A44" w:rsidP="00A5162C">
            <w:pPr>
              <w:pStyle w:val="TableHeading"/>
            </w:pPr>
            <w:r w:rsidRPr="00EB593F">
              <w:t>Description</w:t>
            </w:r>
          </w:p>
        </w:tc>
      </w:tr>
      <w:tr w:rsidR="00054D69" w:rsidRPr="00BD49E5" w:rsidTr="00054D69">
        <w:trPr>
          <w:trHeight w:val="616"/>
        </w:trPr>
        <w:tc>
          <w:tcPr>
            <w:tcW w:w="3333" w:type="dxa"/>
            <w:shd w:val="clear" w:color="auto" w:fill="F3F3F3"/>
          </w:tcPr>
          <w:p w:rsidR="00054D69" w:rsidRPr="00054D69" w:rsidRDefault="00054D69" w:rsidP="0067580F">
            <w:pPr>
              <w:pStyle w:val="TableText"/>
              <w:numPr>
                <w:ilvl w:val="0"/>
                <w:numId w:val="8"/>
              </w:numPr>
              <w:ind w:left="390"/>
              <w:rPr>
                <w:b/>
              </w:rPr>
            </w:pPr>
            <w:r w:rsidRPr="00054D69">
              <w:rPr>
                <w:b/>
              </w:rPr>
              <w:t>Understand energy use and calculate current cost impacts</w:t>
            </w:r>
            <w:r w:rsidR="00013083">
              <w:rPr>
                <w:b/>
              </w:rPr>
              <w:t>.</w:t>
            </w:r>
          </w:p>
        </w:tc>
        <w:tc>
          <w:tcPr>
            <w:tcW w:w="10809" w:type="dxa"/>
            <w:shd w:val="clear" w:color="auto" w:fill="F3F3F3"/>
          </w:tcPr>
          <w:p w:rsidR="00054D69" w:rsidRDefault="00054D69" w:rsidP="00054D69">
            <w:pPr>
              <w:pStyle w:val="TableText"/>
            </w:pPr>
            <w:r>
              <w:t xml:space="preserve">A thorough understanding of how energy is used is </w:t>
            </w:r>
            <w:r w:rsidR="009724B2">
              <w:t xml:space="preserve">needed </w:t>
            </w:r>
            <w:r>
              <w:t xml:space="preserve">if you want to achieve the best possible </w:t>
            </w:r>
            <w:r w:rsidR="009724B2">
              <w:t xml:space="preserve">supply </w:t>
            </w:r>
            <w:r>
              <w:t>deal. Some of the key things you can do to aid understanding include:</w:t>
            </w:r>
          </w:p>
          <w:p w:rsidR="00054D69" w:rsidRPr="00874352" w:rsidRDefault="00054D69" w:rsidP="0067580F">
            <w:pPr>
              <w:pStyle w:val="TableText"/>
              <w:numPr>
                <w:ilvl w:val="0"/>
                <w:numId w:val="9"/>
              </w:numPr>
            </w:pPr>
            <w:r w:rsidRPr="00874352">
              <w:t>Review current invoices and other metering data to determine total usage on a daily, weekly, monthly and annual basis. Collect at least 12 months of data where possible. Data is available from energy invoices</w:t>
            </w:r>
            <w:r w:rsidR="00013083">
              <w:t xml:space="preserve"> (usually on a monthly basis). </w:t>
            </w:r>
            <w:r w:rsidRPr="00874352">
              <w:t>For data on a shorter time period (hourly or daily), speak to your supplier to determine whether your installed metering captures data</w:t>
            </w:r>
            <w:r>
              <w:t xml:space="preserve"> that can show energy usage patterns</w:t>
            </w:r>
            <w:r w:rsidRPr="00874352">
              <w:t>.</w:t>
            </w:r>
          </w:p>
          <w:p w:rsidR="00054D69" w:rsidRPr="00874352" w:rsidRDefault="00054D69" w:rsidP="0067580F">
            <w:pPr>
              <w:pStyle w:val="TableText"/>
              <w:numPr>
                <w:ilvl w:val="0"/>
                <w:numId w:val="9"/>
              </w:numPr>
            </w:pPr>
            <w:r w:rsidRPr="00874352">
              <w:t xml:space="preserve">Determine any expected changes over </w:t>
            </w:r>
            <w:r>
              <w:t xml:space="preserve">the </w:t>
            </w:r>
            <w:r w:rsidRPr="00874352">
              <w:t>next</w:t>
            </w:r>
            <w:r w:rsidR="005305E4">
              <w:t xml:space="preserve"> </w:t>
            </w:r>
            <w:r w:rsidR="00013083">
              <w:t xml:space="preserve">1-2 years. </w:t>
            </w:r>
            <w:r w:rsidRPr="00874352">
              <w:t xml:space="preserve">Examples include any program </w:t>
            </w:r>
            <w:r>
              <w:t xml:space="preserve">or initiative </w:t>
            </w:r>
            <w:r w:rsidRPr="00874352">
              <w:t xml:space="preserve">that has a targeted decrease in energy usage/carbon emissions, or the planned purchase of new equipment that will </w:t>
            </w:r>
            <w:r>
              <w:t>change</w:t>
            </w:r>
            <w:r w:rsidRPr="00874352">
              <w:t xml:space="preserve"> energy usage</w:t>
            </w:r>
            <w:r>
              <w:t xml:space="preserve"> or peak demand</w:t>
            </w:r>
            <w:r w:rsidR="00013083">
              <w:t xml:space="preserve">. </w:t>
            </w:r>
            <w:r w:rsidRPr="00874352">
              <w:t>Discussions with a range of site and corporate personnel (where applicable) should occur.</w:t>
            </w:r>
          </w:p>
          <w:p w:rsidR="00054D69" w:rsidRDefault="00054D69" w:rsidP="0067580F">
            <w:pPr>
              <w:pStyle w:val="TableText"/>
              <w:numPr>
                <w:ilvl w:val="0"/>
                <w:numId w:val="9"/>
              </w:numPr>
            </w:pPr>
            <w:r w:rsidRPr="00874352">
              <w:t xml:space="preserve">Review the working hours of </w:t>
            </w:r>
            <w:r>
              <w:t>major</w:t>
            </w:r>
            <w:r w:rsidRPr="00874352">
              <w:t xml:space="preserve"> equipment</w:t>
            </w:r>
            <w:r>
              <w:t xml:space="preserve"> or lines</w:t>
            </w:r>
            <w:r w:rsidR="00013083">
              <w:t xml:space="preserve">. </w:t>
            </w:r>
            <w:r w:rsidRPr="00874352">
              <w:t>Does the large energy-using equipment need to work all at once, and/or at peak times</w:t>
            </w:r>
            <w:r>
              <w:t>, and are any major changes planned (eg. increasing number of shifts, moving some production to off</w:t>
            </w:r>
            <w:r w:rsidR="00B62CCF">
              <w:t>-</w:t>
            </w:r>
            <w:r>
              <w:t>peak times) that will affect energy use patterns</w:t>
            </w:r>
            <w:r w:rsidRPr="00874352">
              <w:t xml:space="preserve">?  </w:t>
            </w:r>
          </w:p>
          <w:p w:rsidR="00054D69" w:rsidRPr="00874352" w:rsidRDefault="00054D69" w:rsidP="00054D69">
            <w:pPr>
              <w:pStyle w:val="TableText"/>
            </w:pPr>
            <w:r w:rsidRPr="00874352">
              <w:t>It is essential that the total cost of the fuel i</w:t>
            </w:r>
            <w:r w:rsidR="00013083">
              <w:t xml:space="preserve">s understood for any analysis. </w:t>
            </w:r>
            <w:r w:rsidRPr="00874352">
              <w:t>T</w:t>
            </w:r>
            <w:r>
              <w:t>he t</w:t>
            </w:r>
            <w:r w:rsidRPr="00874352">
              <w:t xml:space="preserve">otal cost </w:t>
            </w:r>
            <w:r>
              <w:t>is usually</w:t>
            </w:r>
            <w:r w:rsidRPr="00874352">
              <w:t xml:space="preserve"> made up of </w:t>
            </w:r>
            <w:r w:rsidR="00B62CCF">
              <w:t>three</w:t>
            </w:r>
            <w:r w:rsidRPr="00874352">
              <w:t xml:space="preserve"> key components: </w:t>
            </w:r>
          </w:p>
          <w:p w:rsidR="00054D69" w:rsidRDefault="00013083" w:rsidP="0067580F">
            <w:pPr>
              <w:pStyle w:val="TableText"/>
              <w:numPr>
                <w:ilvl w:val="0"/>
                <w:numId w:val="10"/>
              </w:numPr>
            </w:pPr>
            <w:r>
              <w:t>t</w:t>
            </w:r>
            <w:r w:rsidR="00054D69" w:rsidRPr="00874352">
              <w:t>he cost of the physi</w:t>
            </w:r>
            <w:r w:rsidR="00054D69">
              <w:t>cal item (commodity cost)</w:t>
            </w:r>
          </w:p>
          <w:p w:rsidR="00054D69" w:rsidRDefault="00013083" w:rsidP="0067580F">
            <w:pPr>
              <w:pStyle w:val="TableText"/>
              <w:numPr>
                <w:ilvl w:val="0"/>
                <w:numId w:val="10"/>
              </w:numPr>
            </w:pPr>
            <w:r>
              <w:t>t</w:t>
            </w:r>
            <w:r w:rsidR="00B62CCF">
              <w:t>he cost of transportation</w:t>
            </w:r>
            <w:r>
              <w:t>/</w:t>
            </w:r>
            <w:r w:rsidR="00413166">
              <w:t>distribution</w:t>
            </w:r>
          </w:p>
          <w:p w:rsidR="00054D69" w:rsidRPr="00874352" w:rsidRDefault="00013083" w:rsidP="0067580F">
            <w:pPr>
              <w:pStyle w:val="TableText"/>
              <w:numPr>
                <w:ilvl w:val="0"/>
                <w:numId w:val="10"/>
              </w:numPr>
            </w:pPr>
            <w:r>
              <w:t>a</w:t>
            </w:r>
            <w:r w:rsidR="00054D69" w:rsidRPr="00874352">
              <w:t>ny othe</w:t>
            </w:r>
            <w:r w:rsidR="00054D69">
              <w:t>r regulated or market charges</w:t>
            </w:r>
            <w:r>
              <w:t>.</w:t>
            </w:r>
          </w:p>
          <w:p w:rsidR="00054D69" w:rsidRDefault="00054D69" w:rsidP="00013083">
            <w:pPr>
              <w:pStyle w:val="TableText"/>
            </w:pPr>
            <w:r w:rsidRPr="00874352">
              <w:t>When comparing offers from energy suppliers you need to be aware of those components that are variable across the range of suppliers, and those co</w:t>
            </w:r>
            <w:r w:rsidR="00013083">
              <w:t xml:space="preserve">mponents that are fixed costs. </w:t>
            </w:r>
            <w:r w:rsidRPr="00874352">
              <w:t>For instance, while you may have a choice of retailer for the supply of your electricity, the transportation charges are the sam</w:t>
            </w:r>
            <w:r w:rsidR="00013083">
              <w:t xml:space="preserve">e regardless of your retailer. </w:t>
            </w:r>
            <w:r w:rsidRPr="00874352">
              <w:t>Howeve</w:t>
            </w:r>
            <w:r w:rsidR="00013083">
              <w:t>r,</w:t>
            </w:r>
            <w:r w:rsidRPr="00874352">
              <w:t xml:space="preserve"> for LPG and coal,</w:t>
            </w:r>
            <w:r>
              <w:t xml:space="preserve"> the transport costs are depende</w:t>
            </w:r>
            <w:r w:rsidRPr="00874352">
              <w:t>nt on your supplier and may be bundled with your commodity cost.</w:t>
            </w:r>
          </w:p>
          <w:p w:rsidR="00013083" w:rsidRPr="00874352" w:rsidRDefault="00013083" w:rsidP="00013083">
            <w:pPr>
              <w:pStyle w:val="TableText"/>
            </w:pPr>
          </w:p>
        </w:tc>
      </w:tr>
      <w:tr w:rsidR="00054D69" w:rsidRPr="00BD49E5" w:rsidTr="00054D69">
        <w:trPr>
          <w:trHeight w:val="245"/>
        </w:trPr>
        <w:tc>
          <w:tcPr>
            <w:tcW w:w="3333" w:type="dxa"/>
            <w:shd w:val="clear" w:color="auto" w:fill="F3F3F3"/>
          </w:tcPr>
          <w:p w:rsidR="00054D69" w:rsidRPr="00054D69" w:rsidRDefault="00054D69" w:rsidP="0067580F">
            <w:pPr>
              <w:pStyle w:val="TableText"/>
              <w:numPr>
                <w:ilvl w:val="0"/>
                <w:numId w:val="8"/>
              </w:numPr>
              <w:ind w:left="390"/>
              <w:rPr>
                <w:b/>
              </w:rPr>
            </w:pPr>
            <w:r w:rsidRPr="00054D69">
              <w:rPr>
                <w:b/>
              </w:rPr>
              <w:lastRenderedPageBreak/>
              <w:t>Use energy market and price trends to inform business planning of future costs</w:t>
            </w:r>
            <w:r w:rsidR="00013083">
              <w:rPr>
                <w:b/>
              </w:rPr>
              <w:t>.</w:t>
            </w:r>
          </w:p>
        </w:tc>
        <w:tc>
          <w:tcPr>
            <w:tcW w:w="10809" w:type="dxa"/>
            <w:shd w:val="clear" w:color="auto" w:fill="F3F3F3"/>
          </w:tcPr>
          <w:p w:rsidR="00054D69" w:rsidRPr="003C1567" w:rsidRDefault="00054D69" w:rsidP="00054D69">
            <w:pPr>
              <w:pStyle w:val="TableText"/>
            </w:pPr>
            <w:r w:rsidRPr="003C1567">
              <w:t xml:space="preserve">Access information about </w:t>
            </w:r>
            <w:r>
              <w:t>energy</w:t>
            </w:r>
            <w:r w:rsidRPr="003C1567">
              <w:t xml:space="preserve"> prices to inform budgets, bus</w:t>
            </w:r>
            <w:r w:rsidR="00013083">
              <w:t xml:space="preserve">iness plans and capital works. </w:t>
            </w:r>
            <w:r w:rsidRPr="003C1567">
              <w:t xml:space="preserve">Energy prices </w:t>
            </w:r>
            <w:r>
              <w:t>may be</w:t>
            </w:r>
            <w:r w:rsidRPr="003C1567">
              <w:t xml:space="preserve"> influenced by world commodity markets</w:t>
            </w:r>
            <w:r>
              <w:t>, as well as local conditions in some cases</w:t>
            </w:r>
            <w:r w:rsidR="00013083">
              <w:t xml:space="preserve">. </w:t>
            </w:r>
            <w:r w:rsidRPr="003C1567">
              <w:t xml:space="preserve">Existing and potential suppliers are a good source of information as </w:t>
            </w:r>
            <w:r w:rsidR="00013083">
              <w:t xml:space="preserve">well as industry associations. </w:t>
            </w:r>
            <w:r w:rsidRPr="003C1567">
              <w:t>When reviewing future prices, the trend is more important than the exact price given the volatility of the market and the uncertainty beyond the short term.</w:t>
            </w:r>
          </w:p>
          <w:p w:rsidR="00054D69" w:rsidRPr="003C1567" w:rsidRDefault="00054D69" w:rsidP="00054D69">
            <w:pPr>
              <w:pStyle w:val="TableText"/>
            </w:pPr>
            <w:r w:rsidRPr="003C1567">
              <w:t>The cost of carbon is not usually included in the commodity cost quoted by the various markets and should be unde</w:t>
            </w:r>
            <w:r w:rsidR="00D83921">
              <w:t xml:space="preserve">rtaken as a separate analysis. </w:t>
            </w:r>
            <w:r w:rsidRPr="003C1567">
              <w:t>This is largely due to the uncertainty of the application of carbon pricing in the economy and may change depending on future government policy.</w:t>
            </w:r>
          </w:p>
          <w:p w:rsidR="00054D69" w:rsidRDefault="00054D69" w:rsidP="00054D69">
            <w:pPr>
              <w:pStyle w:val="TableText"/>
            </w:pPr>
            <w:r w:rsidRPr="003C1567">
              <w:t xml:space="preserve">When undertaking </w:t>
            </w:r>
            <w:r>
              <w:t>price trends and</w:t>
            </w:r>
            <w:r w:rsidRPr="003C1567">
              <w:t xml:space="preserve"> financial analysis it is important to review how </w:t>
            </w:r>
            <w:r w:rsidR="00D83921">
              <w:t>consumer price index (</w:t>
            </w:r>
            <w:r w:rsidRPr="003C1567">
              <w:t>CPI</w:t>
            </w:r>
            <w:r w:rsidR="00D83921">
              <w:t>)</w:t>
            </w:r>
            <w:r w:rsidRPr="003C1567">
              <w:t xml:space="preserve"> is reflected in the models, as often future price forecasts do not include allowance for CPI or the time cost of money.</w:t>
            </w:r>
          </w:p>
          <w:p w:rsidR="00054D69" w:rsidRPr="003C1567" w:rsidRDefault="00054D69" w:rsidP="00054D69">
            <w:pPr>
              <w:pStyle w:val="TableText"/>
            </w:pPr>
            <w:r>
              <w:t xml:space="preserve">It is good practice to also utilise energy price and price trend (including carbon) information to inform new capital works or equipment replacement projects. Energy costs over equipment life usually exceeds the cost of the equipment, so selecting efficient technology at the beginning, informed by accurate price trend data, can generate significant cost savings over the long term. </w:t>
            </w:r>
          </w:p>
        </w:tc>
      </w:tr>
      <w:tr w:rsidR="00054D69" w:rsidRPr="00BD49E5" w:rsidTr="00054D69">
        <w:trPr>
          <w:trHeight w:val="858"/>
        </w:trPr>
        <w:tc>
          <w:tcPr>
            <w:tcW w:w="3333" w:type="dxa"/>
            <w:shd w:val="clear" w:color="auto" w:fill="F3F3F3"/>
          </w:tcPr>
          <w:p w:rsidR="00054D69" w:rsidRPr="00054D69" w:rsidRDefault="00054D69" w:rsidP="0067580F">
            <w:pPr>
              <w:pStyle w:val="TableText"/>
              <w:numPr>
                <w:ilvl w:val="0"/>
                <w:numId w:val="8"/>
              </w:numPr>
              <w:ind w:left="390"/>
              <w:rPr>
                <w:b/>
              </w:rPr>
            </w:pPr>
            <w:r w:rsidRPr="00054D69">
              <w:rPr>
                <w:b/>
              </w:rPr>
              <w:t>Explore and identify opportunities to reduce energy costs</w:t>
            </w:r>
            <w:r w:rsidR="00013083">
              <w:rPr>
                <w:b/>
              </w:rPr>
              <w:t>.</w:t>
            </w:r>
          </w:p>
        </w:tc>
        <w:tc>
          <w:tcPr>
            <w:tcW w:w="10809" w:type="dxa"/>
            <w:shd w:val="clear" w:color="auto" w:fill="F3F3F3"/>
          </w:tcPr>
          <w:p w:rsidR="00054D69" w:rsidRDefault="00054D69" w:rsidP="00054D69">
            <w:pPr>
              <w:pStyle w:val="TableText"/>
            </w:pPr>
            <w:r>
              <w:t>A range of opportunities can exist to optimise your current energy agreements, including:</w:t>
            </w:r>
          </w:p>
          <w:p w:rsidR="00054D69" w:rsidRPr="003C1567" w:rsidRDefault="00054D69" w:rsidP="0067580F">
            <w:pPr>
              <w:pStyle w:val="TableText"/>
              <w:numPr>
                <w:ilvl w:val="0"/>
                <w:numId w:val="11"/>
              </w:numPr>
            </w:pPr>
            <w:r w:rsidRPr="003C1567">
              <w:t>For electricity and natural gas, review opportunities for</w:t>
            </w:r>
            <w:r w:rsidR="00D83921">
              <w:t xml:space="preserve"> moving to a lower cost tariff.</w:t>
            </w:r>
            <w:r w:rsidRPr="003C1567">
              <w:t xml:space="preserve"> Tariffs are the regulated component of the supply and can cover either the total c</w:t>
            </w:r>
            <w:r w:rsidR="00D83921">
              <w:t xml:space="preserve">ost or the network cost alone. </w:t>
            </w:r>
            <w:r w:rsidRPr="003C1567">
              <w:t>Often there are a number of different tariff structures available for a site and, depending on your usage profil</w:t>
            </w:r>
            <w:r>
              <w:t>e across the day, week and year</w:t>
            </w:r>
            <w:r w:rsidR="00D83921">
              <w:t>,</w:t>
            </w:r>
            <w:r w:rsidRPr="003C1567">
              <w:t xml:space="preserve"> some tariffs are l</w:t>
            </w:r>
            <w:r>
              <w:t>ess</w:t>
            </w:r>
            <w:r w:rsidRPr="003C1567">
              <w:t xml:space="preserve"> cost</w:t>
            </w:r>
            <w:r>
              <w:t>ly</w:t>
            </w:r>
            <w:r w:rsidRPr="003C1567">
              <w:t xml:space="preserve"> than others.</w:t>
            </w:r>
          </w:p>
          <w:p w:rsidR="00054D69" w:rsidRPr="003C1567" w:rsidRDefault="00054D69" w:rsidP="0067580F">
            <w:pPr>
              <w:pStyle w:val="TableText"/>
              <w:numPr>
                <w:ilvl w:val="0"/>
                <w:numId w:val="11"/>
              </w:numPr>
            </w:pPr>
            <w:r w:rsidRPr="003C1567">
              <w:t xml:space="preserve">Some electricity </w:t>
            </w:r>
            <w:r>
              <w:t>suppliers</w:t>
            </w:r>
            <w:r w:rsidRPr="003C1567">
              <w:t xml:space="preserve"> provide incentives for end users to turn off large energy using equipment during times of peak lo</w:t>
            </w:r>
            <w:r w:rsidR="00D83921">
              <w:t xml:space="preserve">ad on the electricity network. </w:t>
            </w:r>
            <w:r w:rsidRPr="003C1567">
              <w:t xml:space="preserve">Not only will you save money by not using electricity, but you will be paid additional money to offset for the inconvenience. Speak to your electricity retailer </w:t>
            </w:r>
            <w:r>
              <w:t xml:space="preserve">and electricity network provider </w:t>
            </w:r>
            <w:r w:rsidRPr="003C1567">
              <w:t>to determine whether they offer a load curtailment or load shedding program</w:t>
            </w:r>
            <w:r>
              <w:t xml:space="preserve"> or incentives to permanently reduce your peak demand</w:t>
            </w:r>
            <w:r w:rsidRPr="003C1567">
              <w:t>.</w:t>
            </w:r>
          </w:p>
          <w:p w:rsidR="00054D69" w:rsidRDefault="00054D69" w:rsidP="0067580F">
            <w:pPr>
              <w:pStyle w:val="TableText"/>
              <w:numPr>
                <w:ilvl w:val="0"/>
                <w:numId w:val="11"/>
              </w:numPr>
            </w:pPr>
            <w:r w:rsidRPr="003C1567">
              <w:t>If you have a contract, ask your supplier if you can have a discount for a new contract, or for extending an existing contract.</w:t>
            </w:r>
          </w:p>
          <w:p w:rsidR="000C5B9E" w:rsidRPr="003C1567" w:rsidRDefault="000C5B9E" w:rsidP="000C5B9E">
            <w:pPr>
              <w:pStyle w:val="Paragraph"/>
            </w:pPr>
          </w:p>
          <w:p w:rsidR="00054D69" w:rsidRPr="003C1567" w:rsidRDefault="00054D69" w:rsidP="0067580F">
            <w:pPr>
              <w:pStyle w:val="TableText"/>
              <w:numPr>
                <w:ilvl w:val="0"/>
                <w:numId w:val="11"/>
              </w:numPr>
            </w:pPr>
            <w:r w:rsidRPr="003C1567">
              <w:lastRenderedPageBreak/>
              <w:t>For natural gas, one of the larger components of cost is t</w:t>
            </w:r>
            <w:r w:rsidR="00D83921">
              <w:t xml:space="preserve">he Maximum Daily Demand (MDQ). </w:t>
            </w:r>
            <w:r w:rsidRPr="003C1567">
              <w:t>By analysing your profile, and determining the scheduling of equipment, the MDQ can be reduced.</w:t>
            </w:r>
          </w:p>
          <w:p w:rsidR="00054D69" w:rsidRPr="003C1567" w:rsidRDefault="00054D69" w:rsidP="0067580F">
            <w:pPr>
              <w:pStyle w:val="TableText"/>
              <w:numPr>
                <w:ilvl w:val="0"/>
                <w:numId w:val="11"/>
              </w:numPr>
            </w:pPr>
            <w:r w:rsidRPr="003C1567">
              <w:t>Where electricity demand is charged in MVA or kVA units, check the power</w:t>
            </w:r>
            <w:r w:rsidR="00D83921">
              <w:t xml:space="preserve"> factor of your supply. </w:t>
            </w:r>
            <w:r w:rsidRPr="003C1567">
              <w:t xml:space="preserve">This is </w:t>
            </w:r>
            <w:r w:rsidR="00D83921">
              <w:t>sometimes shown on the invoice.</w:t>
            </w:r>
            <w:r w:rsidRPr="003C1567">
              <w:t xml:space="preserve"> Otherwise talk to your retailer. If the power factor is less than 0.98, then there may be benefits </w:t>
            </w:r>
            <w:r>
              <w:t>by</w:t>
            </w:r>
            <w:r w:rsidRPr="003C1567">
              <w:t xml:space="preserve"> installing </w:t>
            </w:r>
            <w:r w:rsidRPr="00907CA1">
              <w:t>power factor correction</w:t>
            </w:r>
            <w:r w:rsidR="00D83921">
              <w:t xml:space="preserve">. </w:t>
            </w:r>
            <w:r w:rsidRPr="003C1567">
              <w:t xml:space="preserve">Ask your retailer or </w:t>
            </w:r>
            <w:r>
              <w:t xml:space="preserve">network service provider, or </w:t>
            </w:r>
            <w:r w:rsidRPr="003C1567">
              <w:t xml:space="preserve">search the internet for potential suppliers. </w:t>
            </w:r>
          </w:p>
        </w:tc>
      </w:tr>
      <w:tr w:rsidR="00054D69" w:rsidRPr="00BD49E5" w:rsidTr="00054D69">
        <w:trPr>
          <w:trHeight w:val="424"/>
        </w:trPr>
        <w:tc>
          <w:tcPr>
            <w:tcW w:w="3333" w:type="dxa"/>
            <w:shd w:val="clear" w:color="auto" w:fill="F3F3F3"/>
          </w:tcPr>
          <w:p w:rsidR="00054D69" w:rsidRPr="00054D69" w:rsidRDefault="00054D69" w:rsidP="0067580F">
            <w:pPr>
              <w:pStyle w:val="TableText"/>
              <w:numPr>
                <w:ilvl w:val="0"/>
                <w:numId w:val="8"/>
              </w:numPr>
              <w:ind w:left="390"/>
              <w:rPr>
                <w:b/>
              </w:rPr>
            </w:pPr>
            <w:r w:rsidRPr="00054D69">
              <w:rPr>
                <w:b/>
              </w:rPr>
              <w:lastRenderedPageBreak/>
              <w:t>Facilitate implementation of cost reduction opportunities</w:t>
            </w:r>
            <w:r w:rsidR="00434AA1">
              <w:rPr>
                <w:b/>
              </w:rPr>
              <w:t xml:space="preserve"> via contract reviews and tarriff analysis</w:t>
            </w:r>
            <w:r w:rsidR="00013083">
              <w:rPr>
                <w:b/>
              </w:rPr>
              <w:t>.</w:t>
            </w:r>
          </w:p>
        </w:tc>
        <w:tc>
          <w:tcPr>
            <w:tcW w:w="10809" w:type="dxa"/>
            <w:shd w:val="clear" w:color="auto" w:fill="F3F3F3"/>
          </w:tcPr>
          <w:p w:rsidR="00054D69" w:rsidRPr="003C1567" w:rsidRDefault="00054D69" w:rsidP="00054D69">
            <w:pPr>
              <w:pStyle w:val="TableText"/>
            </w:pPr>
            <w:r w:rsidRPr="003C1567">
              <w:t xml:space="preserve">Obtain competitive offers for supply using a </w:t>
            </w:r>
            <w:r w:rsidR="00D83921">
              <w:t>structured tendering process.</w:t>
            </w:r>
            <w:r w:rsidRPr="00907CA1">
              <w:t xml:space="preserve"> It is important to keep to the proces</w:t>
            </w:r>
            <w:r w:rsidR="00D83921">
              <w:t xml:space="preserve">s and the timeframes outlined. </w:t>
            </w:r>
            <w:r w:rsidRPr="00907CA1">
              <w:t>Most energy sources are based</w:t>
            </w:r>
            <w:r w:rsidRPr="003C1567">
              <w:t xml:space="preserve"> on commo</w:t>
            </w:r>
            <w:r w:rsidR="00D83921">
              <w:t>dity prices that vary each day.</w:t>
            </w:r>
            <w:r w:rsidRPr="003C1567">
              <w:t xml:space="preserve"> Step 1 is particularly important when reviewing the market and gaining information</w:t>
            </w:r>
            <w:r w:rsidR="00D83921">
              <w:t>;</w:t>
            </w:r>
            <w:r w:rsidRPr="003C1567">
              <w:t xml:space="preserve"> you need to understand th</w:t>
            </w:r>
            <w:r w:rsidR="00D83921">
              <w:t xml:space="preserve">e price drivers for suppliers. </w:t>
            </w:r>
            <w:r w:rsidRPr="003C1567">
              <w:t>For instance, electricity pricing offers for large users is often only valid f</w:t>
            </w:r>
            <w:r w:rsidR="00D83921">
              <w:t>or a few days, possibly a week.</w:t>
            </w:r>
            <w:r w:rsidRPr="003C1567">
              <w:t xml:space="preserve"> If your tender timetable requires offers to be valid for </w:t>
            </w:r>
            <w:r w:rsidR="00D83921">
              <w:t>two</w:t>
            </w:r>
            <w:r w:rsidRPr="003C1567">
              <w:t xml:space="preserve"> weeks, then you </w:t>
            </w:r>
            <w:r w:rsidR="000379DC">
              <w:t>may</w:t>
            </w:r>
            <w:r w:rsidR="000379DC" w:rsidRPr="003C1567">
              <w:t xml:space="preserve"> </w:t>
            </w:r>
            <w:r w:rsidRPr="003C1567">
              <w:t>receive uncompetitive offers.</w:t>
            </w:r>
          </w:p>
          <w:p w:rsidR="00054D69" w:rsidRPr="003C1567" w:rsidRDefault="00054D69" w:rsidP="00054D69">
            <w:pPr>
              <w:pStyle w:val="TableText"/>
            </w:pPr>
            <w:r w:rsidRPr="003C1567">
              <w:t>The emission factors for most fuels will vary</w:t>
            </w:r>
            <w:r w:rsidR="00D83921">
              <w:t xml:space="preserve"> by state rather than supplier.</w:t>
            </w:r>
            <w:r w:rsidRPr="003C1567">
              <w:t xml:space="preserve"> This means that regardless of who your electricity supplier is, your carbon content will </w:t>
            </w:r>
            <w:r w:rsidR="00D83921">
              <w:t xml:space="preserve">be the same for your location. </w:t>
            </w:r>
            <w:r w:rsidRPr="003C1567">
              <w:t>There may be some cases where using the coal from one mine, or one supplier, varies from another mine or supplier, but this is very hard to verify.</w:t>
            </w:r>
          </w:p>
          <w:p w:rsidR="00054D69" w:rsidRPr="003C1567" w:rsidRDefault="00054D69" w:rsidP="00054D69">
            <w:pPr>
              <w:pStyle w:val="TableText"/>
            </w:pPr>
            <w:r w:rsidRPr="003C1567">
              <w:t xml:space="preserve">If the tariff analysis showed that there are more </w:t>
            </w:r>
            <w:r w:rsidRPr="003C1567">
              <w:rPr>
                <w:i/>
              </w:rPr>
              <w:t>cost</w:t>
            </w:r>
            <w:r w:rsidR="00D83921">
              <w:rPr>
                <w:i/>
              </w:rPr>
              <w:t>-</w:t>
            </w:r>
            <w:r w:rsidRPr="003C1567">
              <w:rPr>
                <w:i/>
              </w:rPr>
              <w:t>effective tariffs</w:t>
            </w:r>
            <w:r w:rsidRPr="003C1567">
              <w:t>, contact your supplier and ask them to firstly confirm your assessment and then change the tariffs over.</w:t>
            </w:r>
          </w:p>
          <w:p w:rsidR="00054D69" w:rsidRPr="003C1567" w:rsidRDefault="00054D69" w:rsidP="00054D69">
            <w:pPr>
              <w:pStyle w:val="TableText"/>
            </w:pPr>
            <w:r w:rsidRPr="003C1567">
              <w:t>Key risks to review when negotiating energy contracts are:</w:t>
            </w:r>
          </w:p>
          <w:p w:rsidR="00054D69" w:rsidRPr="00054D69" w:rsidRDefault="00054D69" w:rsidP="0067580F">
            <w:pPr>
              <w:pStyle w:val="TableText"/>
              <w:numPr>
                <w:ilvl w:val="0"/>
                <w:numId w:val="12"/>
              </w:numPr>
            </w:pPr>
            <w:r w:rsidRPr="00054D69">
              <w:t xml:space="preserve">make sure the </w:t>
            </w:r>
            <w:r w:rsidR="00B62CCF">
              <w:t xml:space="preserve">contract </w:t>
            </w:r>
            <w:r w:rsidRPr="00054D69">
              <w:t>term covers the period of any risks identified in the market review, but not beyond your reasonable business planning period</w:t>
            </w:r>
          </w:p>
          <w:p w:rsidR="00054D69" w:rsidRPr="00054D69" w:rsidRDefault="00D83921" w:rsidP="0067580F">
            <w:pPr>
              <w:pStyle w:val="TableText"/>
              <w:numPr>
                <w:ilvl w:val="0"/>
                <w:numId w:val="12"/>
              </w:numPr>
            </w:pPr>
            <w:r>
              <w:t>u</w:t>
            </w:r>
            <w:r w:rsidR="00054D69" w:rsidRPr="00054D69">
              <w:t>nderstand under what circumstances either party can terminate a contract</w:t>
            </w:r>
          </w:p>
          <w:p w:rsidR="00054D69" w:rsidRPr="00054D69" w:rsidRDefault="00D83921" w:rsidP="0067580F">
            <w:pPr>
              <w:pStyle w:val="TableText"/>
              <w:numPr>
                <w:ilvl w:val="0"/>
                <w:numId w:val="12"/>
              </w:numPr>
            </w:pPr>
            <w:r>
              <w:t>u</w:t>
            </w:r>
            <w:r w:rsidR="00054D69" w:rsidRPr="00054D69">
              <w:t>nderstand whether there are any usage restrictions on a daily, monthly or annual basis</w:t>
            </w:r>
          </w:p>
          <w:p w:rsidR="00054D69" w:rsidRPr="00054D69" w:rsidRDefault="00D83921" w:rsidP="0067580F">
            <w:pPr>
              <w:pStyle w:val="TableText"/>
              <w:numPr>
                <w:ilvl w:val="0"/>
                <w:numId w:val="12"/>
              </w:numPr>
            </w:pPr>
            <w:r>
              <w:t>u</w:t>
            </w:r>
            <w:r w:rsidR="00054D69" w:rsidRPr="00054D69">
              <w:t>nderstand what the supplier can do if the meter is not read or deemed incorrect</w:t>
            </w:r>
          </w:p>
          <w:p w:rsidR="00054D69" w:rsidRPr="00054D69" w:rsidRDefault="00D83921" w:rsidP="0067580F">
            <w:pPr>
              <w:pStyle w:val="TableText"/>
              <w:numPr>
                <w:ilvl w:val="0"/>
                <w:numId w:val="12"/>
              </w:numPr>
            </w:pPr>
            <w:r>
              <w:t>c</w:t>
            </w:r>
            <w:r w:rsidR="00082616">
              <w:t xml:space="preserve">heck whether </w:t>
            </w:r>
            <w:r w:rsidR="00054D69" w:rsidRPr="00054D69">
              <w:t xml:space="preserve">the supplier </w:t>
            </w:r>
            <w:r w:rsidR="00082616">
              <w:t xml:space="preserve">can </w:t>
            </w:r>
            <w:r w:rsidR="00054D69" w:rsidRPr="00054D69">
              <w:t>guarantee supply</w:t>
            </w:r>
            <w:r w:rsidR="00082616">
              <w:t>.</w:t>
            </w:r>
            <w:r w:rsidR="00054D69" w:rsidRPr="00054D69">
              <w:t xml:space="preserve"> Note that many retailers are not responsible for the infrastructure to get electricity and natural gas to sites, and therefore cannot guarantee supply</w:t>
            </w:r>
          </w:p>
          <w:p w:rsidR="00054D69" w:rsidRPr="003C1567" w:rsidRDefault="00D83921" w:rsidP="0067580F">
            <w:pPr>
              <w:pStyle w:val="TableText"/>
              <w:numPr>
                <w:ilvl w:val="0"/>
                <w:numId w:val="12"/>
              </w:numPr>
            </w:pPr>
            <w:r>
              <w:t>u</w:t>
            </w:r>
            <w:r w:rsidR="00054D69" w:rsidRPr="00054D69">
              <w:t>nderstand what the pass-through costs are in a contract, and under what circumstances they can change</w:t>
            </w:r>
            <w:r w:rsidR="00DA1B23">
              <w:t>.</w:t>
            </w:r>
          </w:p>
        </w:tc>
      </w:tr>
      <w:tr w:rsidR="00054D69" w:rsidRPr="00BD49E5" w:rsidTr="00054D69">
        <w:trPr>
          <w:trHeight w:val="404"/>
        </w:trPr>
        <w:tc>
          <w:tcPr>
            <w:tcW w:w="3333" w:type="dxa"/>
            <w:shd w:val="clear" w:color="auto" w:fill="F3F3F3"/>
          </w:tcPr>
          <w:p w:rsidR="00054D69" w:rsidRPr="00054D69" w:rsidRDefault="00054D69" w:rsidP="0067580F">
            <w:pPr>
              <w:pStyle w:val="TableText"/>
              <w:numPr>
                <w:ilvl w:val="0"/>
                <w:numId w:val="8"/>
              </w:numPr>
              <w:ind w:left="390"/>
              <w:rPr>
                <w:b/>
              </w:rPr>
            </w:pPr>
            <w:r w:rsidRPr="00054D69">
              <w:rPr>
                <w:b/>
              </w:rPr>
              <w:lastRenderedPageBreak/>
              <w:t>Monitor and investigate implementation of novel procurement practices to explore changes in the market</w:t>
            </w:r>
            <w:r w:rsidR="00013083">
              <w:rPr>
                <w:b/>
              </w:rPr>
              <w:t>.</w:t>
            </w:r>
          </w:p>
        </w:tc>
        <w:tc>
          <w:tcPr>
            <w:tcW w:w="10809" w:type="dxa"/>
            <w:shd w:val="clear" w:color="auto" w:fill="F3F3F3"/>
          </w:tcPr>
          <w:p w:rsidR="00054D69" w:rsidRPr="003C1567" w:rsidRDefault="00054D69" w:rsidP="00054D69">
            <w:pPr>
              <w:pStyle w:val="TableText"/>
            </w:pPr>
            <w:r w:rsidRPr="003C1567">
              <w:t xml:space="preserve">Once the contract is in place, it is important to </w:t>
            </w:r>
            <w:r w:rsidRPr="003C1567">
              <w:rPr>
                <w:i/>
              </w:rPr>
              <w:t>understand any restrictions</w:t>
            </w:r>
            <w:r w:rsidRPr="003C1567">
              <w:t xml:space="preserve"> within the supply agreement</w:t>
            </w:r>
            <w:r>
              <w:t xml:space="preserve"> and ensure that you do not brea</w:t>
            </w:r>
            <w:r w:rsidR="00D83921">
              <w:t>ch those conditions.</w:t>
            </w:r>
            <w:r w:rsidRPr="003C1567">
              <w:t xml:space="preserve"> Electricity and gas tend to have a maximum amount per day or year, and diesel, coal and LPG often have a minimum amount to take within a certain contract period (referred to as </w:t>
            </w:r>
            <w:r w:rsidR="00D83921">
              <w:t>‘</w:t>
            </w:r>
            <w:r w:rsidRPr="003C1567">
              <w:t>take or pay</w:t>
            </w:r>
            <w:r w:rsidR="00D83921">
              <w:t>’</w:t>
            </w:r>
            <w:r w:rsidRPr="003C1567">
              <w:t>).</w:t>
            </w:r>
          </w:p>
          <w:p w:rsidR="00054D69" w:rsidRPr="003C1567" w:rsidRDefault="00054D69" w:rsidP="00054D69">
            <w:pPr>
              <w:pStyle w:val="TableText"/>
            </w:pPr>
            <w:r w:rsidRPr="003C1567">
              <w:t>Keep abreast of changes in the market through the same channels as was used in Step 2 when identi</w:t>
            </w:r>
            <w:r w:rsidR="00D83921">
              <w:t>fying market issues and trends.</w:t>
            </w:r>
            <w:r w:rsidRPr="003C1567">
              <w:t xml:space="preserve"> Keep in constant contact with your supplier and various industry associations.</w:t>
            </w:r>
          </w:p>
        </w:tc>
      </w:tr>
    </w:tbl>
    <w:p w:rsidR="00324A44" w:rsidRDefault="00324A44" w:rsidP="00EF37DF">
      <w:pPr>
        <w:pStyle w:val="Heading2"/>
        <w:spacing w:after="240"/>
      </w:pPr>
      <w:r w:rsidRPr="00EB593F">
        <w:rPr>
          <w:rFonts w:ascii="Arial" w:hAnsi="Arial" w:cs="Arial"/>
          <w:sz w:val="32"/>
          <w:szCs w:val="32"/>
        </w:rPr>
        <w:br w:type="page"/>
      </w:r>
      <w:bookmarkStart w:id="11" w:name="_Toc275951204"/>
      <w:bookmarkStart w:id="12" w:name="_Toc360095576"/>
      <w:r w:rsidRPr="00EB593F">
        <w:lastRenderedPageBreak/>
        <w:t>Supporting tools and templates related to the practice steps</w:t>
      </w:r>
      <w:bookmarkEnd w:id="11"/>
      <w:bookmarkEnd w:id="12"/>
    </w:p>
    <w:p w:rsidR="00461D42" w:rsidRDefault="00461D42" w:rsidP="00461D42">
      <w:pPr>
        <w:pStyle w:val="Paragraph"/>
        <w:rPr>
          <w:rStyle w:val="Hyperlink"/>
        </w:rPr>
      </w:pPr>
      <w:r>
        <w:t xml:space="preserve">The </w:t>
      </w:r>
      <w:r w:rsidR="00D83921">
        <w:t>EEM</w:t>
      </w:r>
      <w:r w:rsidRPr="00E86A20">
        <w:t xml:space="preserve"> </w:t>
      </w:r>
      <w:r>
        <w:t xml:space="preserve">tools are </w:t>
      </w:r>
      <w:r w:rsidRPr="00E86A20">
        <w:t xml:space="preserve">available from </w:t>
      </w:r>
      <w:hyperlink r:id="rId17" w:history="1">
        <w:r w:rsidRPr="00DF263D">
          <w:rPr>
            <w:rStyle w:val="Hyperlink"/>
          </w:rPr>
          <w:t>www.sustainabilityskills.net.au</w:t>
        </w:r>
      </w:hyperlink>
    </w:p>
    <w:p w:rsidR="00461D42" w:rsidRPr="00461D42" w:rsidRDefault="00461D42" w:rsidP="00461D42"/>
    <w:tbl>
      <w:tblPr>
        <w:tblW w:w="14174"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2802"/>
        <w:gridCol w:w="11372"/>
      </w:tblGrid>
      <w:tr w:rsidR="004D2F35" w:rsidRPr="00EB593F" w:rsidTr="004D2F35">
        <w:trPr>
          <w:cantSplit/>
          <w:trHeight w:val="382"/>
          <w:tblHeader/>
        </w:trPr>
        <w:tc>
          <w:tcPr>
            <w:tcW w:w="2802" w:type="dxa"/>
            <w:shd w:val="clear" w:color="auto" w:fill="5D0F68"/>
          </w:tcPr>
          <w:p w:rsidR="004D2F35" w:rsidRPr="00EB593F" w:rsidRDefault="004D2F35" w:rsidP="00D83921">
            <w:pPr>
              <w:pStyle w:val="TableHeading"/>
            </w:pPr>
            <w:r w:rsidRPr="00EB593F">
              <w:t xml:space="preserve">Tool or </w:t>
            </w:r>
            <w:r w:rsidR="00D83921">
              <w:t>t</w:t>
            </w:r>
            <w:r w:rsidRPr="00EB593F">
              <w:t>emplate</w:t>
            </w:r>
          </w:p>
        </w:tc>
        <w:tc>
          <w:tcPr>
            <w:tcW w:w="11372" w:type="dxa"/>
            <w:shd w:val="clear" w:color="auto" w:fill="5D0F68"/>
          </w:tcPr>
          <w:p w:rsidR="004D2F35" w:rsidRPr="00EB593F" w:rsidRDefault="004D2F35" w:rsidP="00EF37DF">
            <w:pPr>
              <w:pStyle w:val="TableHeading"/>
            </w:pPr>
            <w:r w:rsidRPr="00EB593F">
              <w:t>This tool is useful if…</w:t>
            </w:r>
          </w:p>
        </w:tc>
      </w:tr>
      <w:tr w:rsidR="004D2F35" w:rsidRPr="00AC3A69" w:rsidTr="004D2F35">
        <w:trPr>
          <w:cantSplit/>
          <w:trHeight w:val="915"/>
        </w:trPr>
        <w:tc>
          <w:tcPr>
            <w:tcW w:w="2802" w:type="dxa"/>
            <w:shd w:val="clear" w:color="auto" w:fill="F3F3F3"/>
          </w:tcPr>
          <w:p w:rsidR="004D2F35" w:rsidRPr="004D2F35" w:rsidRDefault="004D2F35" w:rsidP="00CE1771">
            <w:pPr>
              <w:pStyle w:val="TableText"/>
              <w:rPr>
                <w:b/>
              </w:rPr>
            </w:pPr>
            <w:r w:rsidRPr="004D2F35">
              <w:rPr>
                <w:b/>
              </w:rPr>
              <w:t>Energy procurement presentation</w:t>
            </w:r>
          </w:p>
        </w:tc>
        <w:tc>
          <w:tcPr>
            <w:tcW w:w="11372" w:type="dxa"/>
            <w:shd w:val="clear" w:color="auto" w:fill="F3F3F3"/>
          </w:tcPr>
          <w:p w:rsidR="004D2F35" w:rsidRPr="003C1567" w:rsidRDefault="004D2F35" w:rsidP="00CE1771">
            <w:pPr>
              <w:pStyle w:val="TableText"/>
            </w:pPr>
            <w:r w:rsidRPr="003C1567">
              <w:t>You need to work out if your site is contestable.</w:t>
            </w:r>
          </w:p>
          <w:p w:rsidR="004D2F35" w:rsidRPr="003C1567" w:rsidRDefault="004D2F35" w:rsidP="00D83921">
            <w:pPr>
              <w:pStyle w:val="TableText"/>
            </w:pPr>
            <w:r w:rsidRPr="003C1567">
              <w:t>See the contestability thresholds in ‘</w:t>
            </w:r>
            <w:r w:rsidR="00D83921">
              <w:t>p</w:t>
            </w:r>
            <w:r>
              <w:t>rocurement presentation</w:t>
            </w:r>
            <w:r w:rsidRPr="003C1567">
              <w:t xml:space="preserve">’. If you are above the thresholds or in </w:t>
            </w:r>
            <w:r w:rsidR="00D83921">
              <w:t>s</w:t>
            </w:r>
            <w:r w:rsidRPr="003C1567">
              <w:t>tates where there is full deregulation, then you can shop around for a better deal on electricity and gas.</w:t>
            </w:r>
          </w:p>
        </w:tc>
      </w:tr>
      <w:tr w:rsidR="004D2F35" w:rsidRPr="00AC3A69" w:rsidTr="004D2F35">
        <w:trPr>
          <w:cantSplit/>
          <w:trHeight w:val="1084"/>
        </w:trPr>
        <w:tc>
          <w:tcPr>
            <w:tcW w:w="2802" w:type="dxa"/>
            <w:shd w:val="clear" w:color="auto" w:fill="F3F3F3"/>
          </w:tcPr>
          <w:p w:rsidR="004D2F35" w:rsidRPr="00DB127C" w:rsidRDefault="004D2F35" w:rsidP="00CE1771">
            <w:pPr>
              <w:pStyle w:val="TableText"/>
              <w:rPr>
                <w:b/>
              </w:rPr>
            </w:pPr>
            <w:r w:rsidRPr="00DB127C">
              <w:rPr>
                <w:b/>
              </w:rPr>
              <w:t>Energy procurement presentation</w:t>
            </w:r>
          </w:p>
        </w:tc>
        <w:tc>
          <w:tcPr>
            <w:tcW w:w="11372" w:type="dxa"/>
            <w:shd w:val="clear" w:color="auto" w:fill="F3F3F3"/>
          </w:tcPr>
          <w:p w:rsidR="004D2F35" w:rsidRPr="003C1567" w:rsidRDefault="004D2F35" w:rsidP="00CE1771">
            <w:pPr>
              <w:pStyle w:val="TableText"/>
            </w:pPr>
            <w:r w:rsidRPr="003C1567">
              <w:t>You want to understand the various components of your energy bill</w:t>
            </w:r>
            <w:r>
              <w:t xml:space="preserve"> and evaluate opportunities</w:t>
            </w:r>
            <w:r w:rsidRPr="003C1567">
              <w:t>.</w:t>
            </w:r>
          </w:p>
          <w:p w:rsidR="004D2F35" w:rsidRPr="003C1567" w:rsidRDefault="004D2F35" w:rsidP="00CE1771">
            <w:pPr>
              <w:pStyle w:val="TableText"/>
            </w:pPr>
            <w:r w:rsidRPr="003C1567">
              <w:t xml:space="preserve">Note that there are a wide variety of bill types and every retailer has a different format of presentation. </w:t>
            </w:r>
          </w:p>
        </w:tc>
      </w:tr>
      <w:tr w:rsidR="004D2F35" w:rsidRPr="00AC3A69" w:rsidTr="004D2F35">
        <w:trPr>
          <w:cantSplit/>
        </w:trPr>
        <w:tc>
          <w:tcPr>
            <w:tcW w:w="2802" w:type="dxa"/>
            <w:shd w:val="clear" w:color="auto" w:fill="F3F3F3"/>
          </w:tcPr>
          <w:p w:rsidR="004D2F35" w:rsidRPr="00DB127C" w:rsidRDefault="004D2F35" w:rsidP="00CE1771">
            <w:pPr>
              <w:pStyle w:val="TableText"/>
              <w:rPr>
                <w:b/>
              </w:rPr>
            </w:pPr>
            <w:r w:rsidRPr="00DB127C">
              <w:rPr>
                <w:b/>
              </w:rPr>
              <w:t xml:space="preserve">Energy procurement presentation </w:t>
            </w:r>
          </w:p>
          <w:p w:rsidR="004D2F35" w:rsidRPr="00DB127C" w:rsidRDefault="004D2F35" w:rsidP="00CE1771">
            <w:pPr>
              <w:pStyle w:val="TableText"/>
              <w:rPr>
                <w:b/>
              </w:rPr>
            </w:pPr>
          </w:p>
        </w:tc>
        <w:tc>
          <w:tcPr>
            <w:tcW w:w="11372" w:type="dxa"/>
            <w:shd w:val="clear" w:color="auto" w:fill="F3F3F3"/>
          </w:tcPr>
          <w:p w:rsidR="004D2F35" w:rsidRPr="004D2F35" w:rsidRDefault="004D2F35" w:rsidP="00CE1771">
            <w:pPr>
              <w:pStyle w:val="TableText"/>
            </w:pPr>
            <w:r w:rsidRPr="004D2F35">
              <w:t>What principles should I employ when contracting for energy supply?</w:t>
            </w:r>
          </w:p>
          <w:p w:rsidR="004D2F35" w:rsidRPr="003C1567" w:rsidRDefault="004D2F35" w:rsidP="00CE1771">
            <w:pPr>
              <w:pStyle w:val="TableText"/>
            </w:pPr>
            <w:r>
              <w:t xml:space="preserve">You need to contract for energy supply and want to understand your options and tips for negotiating a favourable agreement for your site. </w:t>
            </w:r>
          </w:p>
        </w:tc>
      </w:tr>
      <w:tr w:rsidR="004D2F35" w:rsidRPr="00AC3A69" w:rsidTr="004D2F35">
        <w:trPr>
          <w:cantSplit/>
        </w:trPr>
        <w:tc>
          <w:tcPr>
            <w:tcW w:w="2802" w:type="dxa"/>
            <w:shd w:val="clear" w:color="auto" w:fill="F3F3F3"/>
          </w:tcPr>
          <w:p w:rsidR="004D2F35" w:rsidRPr="00CE1771" w:rsidRDefault="004D2F35" w:rsidP="00CE1771">
            <w:pPr>
              <w:pStyle w:val="TableText"/>
              <w:rPr>
                <w:b/>
              </w:rPr>
            </w:pPr>
            <w:r>
              <w:rPr>
                <w:b/>
              </w:rPr>
              <w:t>T</w:t>
            </w:r>
            <w:r w:rsidRPr="00CE1771">
              <w:rPr>
                <w:b/>
              </w:rPr>
              <w:t xml:space="preserve">ariff </w:t>
            </w:r>
            <w:r>
              <w:rPr>
                <w:b/>
              </w:rPr>
              <w:t xml:space="preserve">and power factor </w:t>
            </w:r>
            <w:r w:rsidRPr="00CE1771">
              <w:rPr>
                <w:b/>
              </w:rPr>
              <w:t>analysis</w:t>
            </w:r>
          </w:p>
          <w:p w:rsidR="004D2F35" w:rsidRPr="00CE1771" w:rsidRDefault="004D2F35" w:rsidP="00CE1771">
            <w:pPr>
              <w:pStyle w:val="TableText"/>
              <w:rPr>
                <w:b/>
              </w:rPr>
            </w:pPr>
          </w:p>
        </w:tc>
        <w:tc>
          <w:tcPr>
            <w:tcW w:w="11372" w:type="dxa"/>
            <w:shd w:val="clear" w:color="auto" w:fill="F3F3F3"/>
          </w:tcPr>
          <w:p w:rsidR="004D2F35" w:rsidRPr="003C1567" w:rsidRDefault="004D2F35" w:rsidP="009E38ED">
            <w:pPr>
              <w:pStyle w:val="TableText"/>
            </w:pPr>
            <w:r w:rsidRPr="003C1567">
              <w:t xml:space="preserve">You want to </w:t>
            </w:r>
            <w:r>
              <w:t xml:space="preserve">understand tariffs and power factor correction to </w:t>
            </w:r>
            <w:r w:rsidRPr="003C1567">
              <w:t>determine whether your electricit</w:t>
            </w:r>
            <w:r>
              <w:t>y account is on the best tariff</w:t>
            </w:r>
            <w:r w:rsidR="00D83921">
              <w:t xml:space="preserve">. </w:t>
            </w:r>
            <w:r w:rsidRPr="003C1567">
              <w:t>Note that it is beneficial to use</w:t>
            </w:r>
            <w:r>
              <w:t xml:space="preserve"> this tool in conjunction with the ‘</w:t>
            </w:r>
            <w:r w:rsidR="00D83921">
              <w:t>procurement presentation’</w:t>
            </w:r>
            <w:r w:rsidR="00D83921" w:rsidRPr="003C1567">
              <w:t xml:space="preserve"> </w:t>
            </w:r>
            <w:r w:rsidRPr="003C1567">
              <w:t>to understand terminology and key aspects of the invoice.</w:t>
            </w:r>
          </w:p>
        </w:tc>
      </w:tr>
      <w:tr w:rsidR="004D2F35" w:rsidRPr="00AC3A69" w:rsidTr="004D2F35">
        <w:tc>
          <w:tcPr>
            <w:tcW w:w="2802" w:type="dxa"/>
            <w:shd w:val="clear" w:color="auto" w:fill="F3F3F3"/>
          </w:tcPr>
          <w:p w:rsidR="004D2F35" w:rsidRPr="00CE1771" w:rsidRDefault="004D2F35" w:rsidP="00CE1771">
            <w:pPr>
              <w:pStyle w:val="TableText"/>
              <w:rPr>
                <w:b/>
              </w:rPr>
            </w:pPr>
            <w:r>
              <w:rPr>
                <w:b/>
              </w:rPr>
              <w:t>Energy baseline</w:t>
            </w:r>
            <w:r w:rsidR="00E06A79">
              <w:rPr>
                <w:b/>
              </w:rPr>
              <w:t xml:space="preserve"> tool</w:t>
            </w:r>
          </w:p>
        </w:tc>
        <w:tc>
          <w:tcPr>
            <w:tcW w:w="11372" w:type="dxa"/>
            <w:shd w:val="clear" w:color="auto" w:fill="F3F3F3"/>
          </w:tcPr>
          <w:p w:rsidR="004D2F35" w:rsidRPr="003C1567" w:rsidRDefault="004D2F35" w:rsidP="004D2F35">
            <w:pPr>
              <w:pStyle w:val="TableText"/>
            </w:pPr>
            <w:r w:rsidRPr="004D2F35">
              <w:t xml:space="preserve">Load profile analysis </w:t>
            </w:r>
            <w:r>
              <w:t>- you want to review the half-</w:t>
            </w:r>
            <w:r w:rsidRPr="003C1567">
              <w:t>hourly data from a smart meter in a simple and graphical format</w:t>
            </w:r>
            <w:r w:rsidR="00D83921">
              <w:t>.</w:t>
            </w:r>
          </w:p>
        </w:tc>
      </w:tr>
      <w:tr w:rsidR="004D2F35" w:rsidRPr="00AC3A69" w:rsidTr="004D2F35">
        <w:tc>
          <w:tcPr>
            <w:tcW w:w="2802" w:type="dxa"/>
            <w:shd w:val="clear" w:color="auto" w:fill="F3F3F3"/>
          </w:tcPr>
          <w:p w:rsidR="004D2F35" w:rsidRPr="004D2F35" w:rsidRDefault="004D2F35" w:rsidP="004D2F35">
            <w:pPr>
              <w:pStyle w:val="Paragraph"/>
              <w:rPr>
                <w:b/>
              </w:rPr>
            </w:pPr>
            <w:r w:rsidRPr="004D2F35">
              <w:rPr>
                <w:b/>
              </w:rPr>
              <w:t>Energy procurement facilitator runsheet</w:t>
            </w:r>
          </w:p>
          <w:p w:rsidR="004D2F35" w:rsidRPr="00D83921" w:rsidRDefault="004D2F35" w:rsidP="00DB127C">
            <w:pPr>
              <w:pStyle w:val="TableText"/>
              <w:rPr>
                <w:b/>
                <w:strike/>
              </w:rPr>
            </w:pPr>
            <w:r w:rsidRPr="00DB127C">
              <w:rPr>
                <w:b/>
              </w:rPr>
              <w:t>Energy procurement presentation</w:t>
            </w:r>
          </w:p>
        </w:tc>
        <w:tc>
          <w:tcPr>
            <w:tcW w:w="11372" w:type="dxa"/>
            <w:shd w:val="clear" w:color="auto" w:fill="F3F3F3"/>
          </w:tcPr>
          <w:p w:rsidR="004D2F35" w:rsidRPr="00FC17CB" w:rsidRDefault="004D2F35" w:rsidP="004F79D8">
            <w:pPr>
              <w:pStyle w:val="TableText"/>
            </w:pPr>
            <w:r>
              <w:t>You want to run an</w:t>
            </w:r>
            <w:r>
              <w:rPr>
                <w:b/>
              </w:rPr>
              <w:t xml:space="preserve"> </w:t>
            </w:r>
            <w:r>
              <w:t>e</w:t>
            </w:r>
            <w:r w:rsidRPr="004D2F35">
              <w:t>nergy procurement planning forum</w:t>
            </w:r>
            <w:r>
              <w:t xml:space="preserve"> to d</w:t>
            </w:r>
            <w:r w:rsidRPr="00FC17CB">
              <w:t xml:space="preserve">evelop a plan to exploit those aspects of the market that </w:t>
            </w:r>
            <w:r>
              <w:t>might</w:t>
            </w:r>
            <w:r w:rsidRPr="00FC17CB">
              <w:t xml:space="preserve"> provide immediate cost savings for </w:t>
            </w:r>
            <w:r>
              <w:t>the</w:t>
            </w:r>
            <w:r w:rsidRPr="00FC17CB">
              <w:t xml:space="preserve"> site.</w:t>
            </w:r>
          </w:p>
          <w:p w:rsidR="004D2F35" w:rsidRPr="00FC17CB" w:rsidRDefault="004D2F35" w:rsidP="004F79D8">
            <w:pPr>
              <w:pStyle w:val="TableText"/>
            </w:pPr>
            <w:r>
              <w:t>You want to d</w:t>
            </w:r>
            <w:r w:rsidRPr="00FC17CB">
              <w:t xml:space="preserve">evelop an executive brief to make systematic changes to procurement practices so that the site continues to pay the </w:t>
            </w:r>
            <w:r w:rsidR="00D83921">
              <w:t>‘</w:t>
            </w:r>
            <w:r w:rsidRPr="00FC17CB">
              <w:t>right</w:t>
            </w:r>
            <w:r w:rsidR="00D83921">
              <w:t>’</w:t>
            </w:r>
            <w:r w:rsidRPr="00FC17CB">
              <w:t xml:space="preserve"> price for energy.</w:t>
            </w:r>
          </w:p>
          <w:p w:rsidR="004D2F35" w:rsidRPr="003C1567" w:rsidRDefault="004D2F35" w:rsidP="004F79D8">
            <w:pPr>
              <w:pStyle w:val="Paragraph"/>
            </w:pPr>
          </w:p>
        </w:tc>
      </w:tr>
    </w:tbl>
    <w:p w:rsidR="00324A44" w:rsidRPr="00EB593F" w:rsidRDefault="00324A44" w:rsidP="006525D8">
      <w:pPr>
        <w:pStyle w:val="Heading2"/>
        <w:pageBreakBefore/>
      </w:pPr>
      <w:bookmarkStart w:id="13" w:name="_Toc275951205"/>
      <w:bookmarkStart w:id="14" w:name="_Toc360095577"/>
      <w:r w:rsidRPr="00EB593F">
        <w:lastRenderedPageBreak/>
        <w:t>Additional websites for reference /general knowledge</w:t>
      </w:r>
      <w:bookmarkEnd w:id="13"/>
      <w:bookmarkEnd w:id="14"/>
      <w:r w:rsidRPr="00EB593F">
        <w:t xml:space="preserve"> </w:t>
      </w:r>
    </w:p>
    <w:p w:rsidR="00324A44" w:rsidRPr="00EB593F" w:rsidRDefault="00324A44" w:rsidP="00EF37DF">
      <w:pPr>
        <w:pStyle w:val="Paragraph"/>
        <w:spacing w:after="240"/>
      </w:pPr>
      <w:r w:rsidRPr="00EB593F">
        <w:t>The following websites are recommended for background knowledge and further reference.</w:t>
      </w:r>
    </w:p>
    <w:tbl>
      <w:tblPr>
        <w:tblW w:w="1428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ayout w:type="fixed"/>
        <w:tblLook w:val="01E0" w:firstRow="1" w:lastRow="1" w:firstColumn="1" w:lastColumn="1" w:noHBand="0" w:noVBand="0"/>
      </w:tblPr>
      <w:tblGrid>
        <w:gridCol w:w="4325"/>
        <w:gridCol w:w="9957"/>
      </w:tblGrid>
      <w:tr w:rsidR="00324A44" w:rsidRPr="00EB593F" w:rsidTr="001E7AEE">
        <w:trPr>
          <w:cantSplit/>
          <w:trHeight w:val="382"/>
          <w:tblHeader/>
        </w:trPr>
        <w:tc>
          <w:tcPr>
            <w:tcW w:w="4325" w:type="dxa"/>
            <w:shd w:val="clear" w:color="auto" w:fill="5D0F68"/>
          </w:tcPr>
          <w:p w:rsidR="00324A44" w:rsidRPr="00EB593F" w:rsidRDefault="00324A44" w:rsidP="00EF37DF">
            <w:pPr>
              <w:pStyle w:val="TableHeading"/>
            </w:pPr>
            <w:r w:rsidRPr="00EB593F">
              <w:t>Website link</w:t>
            </w:r>
          </w:p>
        </w:tc>
        <w:tc>
          <w:tcPr>
            <w:tcW w:w="9957" w:type="dxa"/>
            <w:shd w:val="clear" w:color="auto" w:fill="5D0F68"/>
          </w:tcPr>
          <w:p w:rsidR="00324A44" w:rsidRPr="00EB593F" w:rsidRDefault="00324A44" w:rsidP="00EF37DF">
            <w:pPr>
              <w:pStyle w:val="TableHeading"/>
            </w:pPr>
            <w:r w:rsidRPr="00EB593F">
              <w:t>This website is useful because…</w:t>
            </w:r>
          </w:p>
        </w:tc>
      </w:tr>
      <w:tr w:rsidR="00565361" w:rsidRPr="00AC3A69" w:rsidTr="001E7AEE">
        <w:trPr>
          <w:cantSplit/>
          <w:trHeight w:val="698"/>
        </w:trPr>
        <w:tc>
          <w:tcPr>
            <w:tcW w:w="4325" w:type="dxa"/>
            <w:shd w:val="clear" w:color="auto" w:fill="F3F3F3"/>
          </w:tcPr>
          <w:p w:rsidR="00565361" w:rsidRPr="00565361" w:rsidRDefault="00565361" w:rsidP="00565361">
            <w:pPr>
              <w:pStyle w:val="TableText"/>
              <w:rPr>
                <w:b/>
              </w:rPr>
            </w:pPr>
            <w:r w:rsidRPr="00565361">
              <w:rPr>
                <w:b/>
              </w:rPr>
              <w:t>The Energy Users Association of Australia</w:t>
            </w:r>
            <w:r w:rsidR="00D83921">
              <w:rPr>
                <w:b/>
              </w:rPr>
              <w:t xml:space="preserve"> (EUAA)</w:t>
            </w:r>
          </w:p>
        </w:tc>
        <w:tc>
          <w:tcPr>
            <w:tcW w:w="9957" w:type="dxa"/>
            <w:shd w:val="clear" w:color="auto" w:fill="F3F3F3"/>
          </w:tcPr>
          <w:p w:rsidR="00565361" w:rsidRDefault="00804AFB" w:rsidP="00565361">
            <w:pPr>
              <w:pStyle w:val="TableText"/>
            </w:pPr>
            <w:r>
              <w:t xml:space="preserve">It </w:t>
            </w:r>
            <w:r w:rsidR="00565361" w:rsidRPr="003C1567">
              <w:t xml:space="preserve">provides information on a range of </w:t>
            </w:r>
            <w:r w:rsidR="00565361">
              <w:t>issues a</w:t>
            </w:r>
            <w:r w:rsidR="00D83921">
              <w:t xml:space="preserve">ffecting large energy users. </w:t>
            </w:r>
            <w:r w:rsidR="00565361" w:rsidRPr="003C1567">
              <w:t xml:space="preserve">While </w:t>
            </w:r>
            <w:r>
              <w:t xml:space="preserve">the association </w:t>
            </w:r>
            <w:r w:rsidR="00565361" w:rsidRPr="003C1567">
              <w:t>is a membership</w:t>
            </w:r>
            <w:r w:rsidR="00D83921">
              <w:t>-</w:t>
            </w:r>
            <w:r w:rsidR="00565361" w:rsidRPr="003C1567">
              <w:t>based organisation, there is a significant amount of information available to non-members that will assist with gaining a greater understanding of the energy market and issues affecting future prices.</w:t>
            </w:r>
            <w:r w:rsidR="00565361">
              <w:t xml:space="preserve"> </w:t>
            </w:r>
          </w:p>
          <w:p w:rsidR="00565361" w:rsidRPr="003C1567" w:rsidRDefault="00F07D1A" w:rsidP="00565361">
            <w:pPr>
              <w:pStyle w:val="TableText"/>
            </w:pPr>
            <w:hyperlink r:id="rId18" w:history="1">
              <w:r w:rsidR="00565361" w:rsidRPr="001D7C6A">
                <w:rPr>
                  <w:rStyle w:val="Hyperlink"/>
                </w:rPr>
                <w:t>www.euaa.com.au</w:t>
              </w:r>
            </w:hyperlink>
            <w:r w:rsidR="00565361">
              <w:t xml:space="preserve"> </w:t>
            </w:r>
          </w:p>
        </w:tc>
      </w:tr>
      <w:tr w:rsidR="00565361" w:rsidRPr="00AC3A69" w:rsidTr="001E7AEE">
        <w:trPr>
          <w:cantSplit/>
          <w:trHeight w:val="637"/>
        </w:trPr>
        <w:tc>
          <w:tcPr>
            <w:tcW w:w="4325" w:type="dxa"/>
            <w:shd w:val="clear" w:color="auto" w:fill="F3F3F3"/>
          </w:tcPr>
          <w:p w:rsidR="00565361" w:rsidRPr="00565361" w:rsidRDefault="00565361" w:rsidP="00565361">
            <w:pPr>
              <w:pStyle w:val="TableText"/>
              <w:rPr>
                <w:b/>
              </w:rPr>
            </w:pPr>
            <w:r w:rsidRPr="00565361">
              <w:rPr>
                <w:b/>
              </w:rPr>
              <w:t xml:space="preserve">The Australian Energy Regulator </w:t>
            </w:r>
            <w:r w:rsidR="00D83921">
              <w:rPr>
                <w:b/>
              </w:rPr>
              <w:t>(AER)</w:t>
            </w:r>
          </w:p>
        </w:tc>
        <w:tc>
          <w:tcPr>
            <w:tcW w:w="9957" w:type="dxa"/>
            <w:shd w:val="clear" w:color="auto" w:fill="F3F3F3"/>
          </w:tcPr>
          <w:p w:rsidR="008F7AA1" w:rsidRDefault="00565361" w:rsidP="008F7AA1">
            <w:pPr>
              <w:pStyle w:val="TableText"/>
            </w:pPr>
            <w:r w:rsidRPr="003C1567">
              <w:t xml:space="preserve">The AER determines the price increases for all regulated gas and electricity </w:t>
            </w:r>
            <w:r w:rsidR="00D83921">
              <w:t xml:space="preserve">tariffs across Australia. </w:t>
            </w:r>
            <w:r w:rsidRPr="003C1567">
              <w:t xml:space="preserve">They took over from </w:t>
            </w:r>
            <w:r w:rsidR="00D83921">
              <w:t>s</w:t>
            </w:r>
            <w:r w:rsidRPr="003C1567">
              <w:t>tate</w:t>
            </w:r>
            <w:r w:rsidR="00D83921">
              <w:t>/territory-</w:t>
            </w:r>
            <w:r w:rsidRPr="003C1567">
              <w:t>based regulators in 2010.</w:t>
            </w:r>
          </w:p>
          <w:p w:rsidR="00565361" w:rsidRPr="003C1567" w:rsidRDefault="00F07D1A" w:rsidP="00565361">
            <w:pPr>
              <w:pStyle w:val="TableText"/>
            </w:pPr>
            <w:hyperlink r:id="rId19" w:history="1">
              <w:r w:rsidR="008F7AA1">
                <w:rPr>
                  <w:rStyle w:val="Hyperlink"/>
                </w:rPr>
                <w:t>http://www.aer.gov.au</w:t>
              </w:r>
            </w:hyperlink>
          </w:p>
        </w:tc>
      </w:tr>
      <w:tr w:rsidR="00565361" w:rsidRPr="00AC3A69" w:rsidTr="001E7AEE">
        <w:trPr>
          <w:trHeight w:val="637"/>
        </w:trPr>
        <w:tc>
          <w:tcPr>
            <w:tcW w:w="4325" w:type="dxa"/>
            <w:shd w:val="clear" w:color="auto" w:fill="F3F3F3"/>
          </w:tcPr>
          <w:p w:rsidR="00565361" w:rsidRPr="00565361" w:rsidRDefault="00D83921" w:rsidP="00565361">
            <w:pPr>
              <w:pStyle w:val="TableText"/>
              <w:rPr>
                <w:b/>
              </w:rPr>
            </w:pPr>
            <w:r>
              <w:rPr>
                <w:b/>
              </w:rPr>
              <w:t>Consumer information/</w:t>
            </w:r>
            <w:r w:rsidR="00565361" w:rsidRPr="00565361">
              <w:rPr>
                <w:b/>
              </w:rPr>
              <w:t>assistance</w:t>
            </w:r>
          </w:p>
        </w:tc>
        <w:tc>
          <w:tcPr>
            <w:tcW w:w="9957" w:type="dxa"/>
            <w:shd w:val="clear" w:color="auto" w:fill="F3F3F3"/>
          </w:tcPr>
          <w:p w:rsidR="00565361" w:rsidRDefault="00804AFB" w:rsidP="00565361">
            <w:pPr>
              <w:pStyle w:val="TableText"/>
            </w:pPr>
            <w:r>
              <w:t>The</w:t>
            </w:r>
            <w:r w:rsidR="00D83921">
              <w:t>se</w:t>
            </w:r>
            <w:r w:rsidR="00565361" w:rsidRPr="003C1567">
              <w:t xml:space="preserve"> are useful sources for identifying potential </w:t>
            </w:r>
            <w:r w:rsidR="00D83921">
              <w:t xml:space="preserve">electricity and gas suppliers. </w:t>
            </w:r>
            <w:r w:rsidR="00565361" w:rsidRPr="003C1567">
              <w:t>Some of these websites also give tips on negotiating with suppliers and contract traps to be careful of.</w:t>
            </w:r>
          </w:p>
          <w:p w:rsidR="00565361" w:rsidRDefault="00F07D1A" w:rsidP="00565361">
            <w:pPr>
              <w:pStyle w:val="TableText"/>
            </w:pPr>
            <w:hyperlink r:id="rId20" w:history="1">
              <w:r w:rsidR="00565361" w:rsidRPr="001D7C6A">
                <w:rPr>
                  <w:rStyle w:val="Hyperlink"/>
                </w:rPr>
                <w:t>www.industry.nsw.gov.au/energy/customers/choosing-supplier</w:t>
              </w:r>
            </w:hyperlink>
            <w:r w:rsidR="00565361">
              <w:t xml:space="preserve"> </w:t>
            </w:r>
          </w:p>
          <w:p w:rsidR="000379DC" w:rsidRPr="00C326A0" w:rsidRDefault="00F07D1A" w:rsidP="00565361">
            <w:pPr>
              <w:pStyle w:val="TableText"/>
              <w:rPr>
                <w:rStyle w:val="Hyperlink"/>
                <w:b w:val="0"/>
              </w:rPr>
            </w:pPr>
            <w:hyperlink r:id="rId21" w:history="1">
              <w:r w:rsidR="000379DC" w:rsidRPr="00C326A0">
                <w:rPr>
                  <w:rStyle w:val="Hyperlink"/>
                </w:rPr>
                <w:t>www.esc.vic.gov.au/Energy/Consumer-Information/Energy-Retailers-Choosing-a-Retailer</w:t>
              </w:r>
            </w:hyperlink>
          </w:p>
          <w:p w:rsidR="000379DC" w:rsidRPr="00C326A0" w:rsidRDefault="00F07D1A" w:rsidP="00565361">
            <w:pPr>
              <w:pStyle w:val="TableText"/>
              <w:rPr>
                <w:rStyle w:val="Hyperlink"/>
                <w:b w:val="0"/>
              </w:rPr>
            </w:pPr>
            <w:hyperlink r:id="rId22" w:history="1">
              <w:r w:rsidR="006A67F4" w:rsidRPr="00C326A0">
                <w:rPr>
                  <w:rStyle w:val="Hyperlink"/>
                </w:rPr>
                <w:t>http://www.deedi.qld.gov.au/energy/tips-elect-retailer.htm</w:t>
              </w:r>
            </w:hyperlink>
          </w:p>
          <w:p w:rsidR="006A67F4" w:rsidRDefault="006A67F4" w:rsidP="00565361">
            <w:pPr>
              <w:pStyle w:val="TableText"/>
            </w:pPr>
            <w:r w:rsidRPr="006A67F4">
              <w:t>http://www.escosa.sa.gov.au/consumer-information.aspx</w:t>
            </w:r>
          </w:p>
          <w:p w:rsidR="00565361" w:rsidRPr="003C1567" w:rsidRDefault="00565361" w:rsidP="00565361">
            <w:pPr>
              <w:pStyle w:val="TableText"/>
            </w:pPr>
          </w:p>
        </w:tc>
      </w:tr>
      <w:tr w:rsidR="00565361" w:rsidRPr="00AC3A69" w:rsidTr="001E7AEE">
        <w:trPr>
          <w:trHeight w:val="791"/>
        </w:trPr>
        <w:tc>
          <w:tcPr>
            <w:tcW w:w="4325" w:type="dxa"/>
            <w:shd w:val="clear" w:color="auto" w:fill="F3F3F3"/>
          </w:tcPr>
          <w:p w:rsidR="00565361" w:rsidRPr="00565361" w:rsidRDefault="00F07D1A" w:rsidP="00D83921">
            <w:pPr>
              <w:pStyle w:val="TableText"/>
              <w:rPr>
                <w:b/>
              </w:rPr>
            </w:pPr>
            <w:hyperlink r:id="rId23" w:history="1">
              <w:r w:rsidR="00565361" w:rsidRPr="00A072DF">
                <w:rPr>
                  <w:b/>
                </w:rPr>
                <w:t>LPG</w:t>
              </w:r>
            </w:hyperlink>
            <w:r w:rsidR="00565361" w:rsidRPr="00565361">
              <w:rPr>
                <w:b/>
              </w:rPr>
              <w:t xml:space="preserve"> </w:t>
            </w:r>
            <w:r w:rsidR="00D83921">
              <w:rPr>
                <w:b/>
              </w:rPr>
              <w:t>m</w:t>
            </w:r>
            <w:r w:rsidR="00565361" w:rsidRPr="00565361">
              <w:rPr>
                <w:b/>
              </w:rPr>
              <w:t>arket</w:t>
            </w:r>
          </w:p>
        </w:tc>
        <w:tc>
          <w:tcPr>
            <w:tcW w:w="9957" w:type="dxa"/>
            <w:shd w:val="clear" w:color="auto" w:fill="F3F3F3"/>
          </w:tcPr>
          <w:p w:rsidR="00565361" w:rsidRDefault="00804AFB" w:rsidP="00565361">
            <w:pPr>
              <w:pStyle w:val="TableText"/>
            </w:pPr>
            <w:r>
              <w:t>It</w:t>
            </w:r>
            <w:r w:rsidR="00565361" w:rsidRPr="003C1567">
              <w:t xml:space="preserve"> provides information about LPG and the market drivers for the LPG price.</w:t>
            </w:r>
          </w:p>
          <w:p w:rsidR="00565361" w:rsidRPr="00461D42" w:rsidRDefault="00F07D1A" w:rsidP="00565361">
            <w:pPr>
              <w:pStyle w:val="TableText"/>
              <w:rPr>
                <w:b/>
              </w:rPr>
            </w:pPr>
            <w:hyperlink r:id="rId24" w:history="1">
              <w:r w:rsidR="00D330AF" w:rsidRPr="00C326A0">
                <w:rPr>
                  <w:rStyle w:val="Hyperlink"/>
                </w:rPr>
                <w:t>http://lpgaustralia.com.au/site/index.php</w:t>
              </w:r>
            </w:hyperlink>
          </w:p>
        </w:tc>
      </w:tr>
    </w:tbl>
    <w:p w:rsidR="006E7731" w:rsidRPr="00EB593F" w:rsidRDefault="006E7731" w:rsidP="00375EC1">
      <w:pPr>
        <w:pStyle w:val="Paragraph"/>
      </w:pPr>
    </w:p>
    <w:sectPr w:rsidR="006E7731" w:rsidRPr="00EB593F" w:rsidSect="00D83921">
      <w:headerReference w:type="default" r:id="rId25"/>
      <w:footerReference w:type="default" r:id="rId26"/>
      <w:pgSz w:w="16838" w:h="11899" w:orient="landscape"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1A" w:rsidRDefault="00F07D1A">
      <w:r>
        <w:separator/>
      </w:r>
    </w:p>
  </w:endnote>
  <w:endnote w:type="continuationSeparator" w:id="0">
    <w:p w:rsidR="00F07D1A" w:rsidRDefault="00F0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Oblique">
    <w:panose1 w:val="00000000000000000000"/>
    <w:charset w:val="00"/>
    <w:family w:val="swiss"/>
    <w:notTrueType/>
    <w:pitch w:val="default"/>
    <w:sig w:usb0="00000003" w:usb1="00000000" w:usb2="00000000" w:usb3="00000000" w:csb0="00000001" w:csb1="00000000"/>
  </w:font>
  <w:font w:name="Bembo-Italic">
    <w:panose1 w:val="00000000000000000000"/>
    <w:charset w:val="00"/>
    <w:family w:val="roman"/>
    <w:notTrueType/>
    <w:pitch w:val="default"/>
    <w:sig w:usb0="00000003" w:usb1="00000000" w:usb2="00000000" w:usb3="00000000" w:csb0="00000001" w:csb1="00000000"/>
  </w:font>
  <w:font w:name="Bembo-Bold">
    <w:panose1 w:val="00000000000000000000"/>
    <w:charset w:val="00"/>
    <w:family w:val="roman"/>
    <w:notTrueType/>
    <w:pitch w:val="default"/>
    <w:sig w:usb0="00000003" w:usb1="00000000" w:usb2="00000000" w:usb3="00000000" w:csb0="00000001" w:csb1="00000000"/>
  </w:font>
  <w:font w:name="MathematicalPi-Fou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E1" w:rsidRPr="00D83921" w:rsidRDefault="001E3120" w:rsidP="00A80D2D">
    <w:pPr>
      <w:pStyle w:val="Footer"/>
      <w:pBdr>
        <w:top w:val="single" w:sz="8" w:space="1" w:color="auto"/>
      </w:pBdr>
      <w:tabs>
        <w:tab w:val="clear" w:pos="4320"/>
        <w:tab w:val="clear" w:pos="8640"/>
        <w:tab w:val="right" w:pos="13892"/>
      </w:tabs>
      <w:rPr>
        <w:rFonts w:asciiTheme="minorHAnsi" w:hAnsiTheme="minorHAnsi" w:cstheme="minorHAnsi"/>
        <w:color w:val="5F497A" w:themeColor="accent4" w:themeShade="BF"/>
        <w:sz w:val="18"/>
        <w:szCs w:val="18"/>
      </w:rPr>
    </w:pPr>
    <w:r w:rsidRPr="00D83921">
      <w:rPr>
        <w:rFonts w:asciiTheme="minorHAnsi" w:hAnsiTheme="minorHAnsi" w:cstheme="minorHAnsi"/>
        <w:sz w:val="18"/>
        <w:szCs w:val="18"/>
      </w:rPr>
      <w:t>© Manufacturing Skills Australia</w:t>
    </w:r>
    <w:r w:rsidRPr="00D83921">
      <w:rPr>
        <w:rFonts w:asciiTheme="minorHAnsi" w:eastAsiaTheme="minorEastAsia" w:hAnsiTheme="minorHAnsi" w:cstheme="minorHAnsi"/>
        <w:color w:val="5F497A" w:themeColor="accent4" w:themeShade="BF"/>
        <w:sz w:val="18"/>
        <w:szCs w:val="18"/>
      </w:rPr>
      <w:t xml:space="preserve"> </w:t>
    </w:r>
    <w:r w:rsidR="00A80D2D" w:rsidRPr="00D83921">
      <w:rPr>
        <w:rFonts w:asciiTheme="minorHAnsi" w:eastAsiaTheme="minorEastAsia" w:hAnsiTheme="minorHAnsi" w:cstheme="minorHAnsi"/>
        <w:color w:val="5F497A" w:themeColor="accent4" w:themeShade="BF"/>
        <w:sz w:val="18"/>
        <w:szCs w:val="18"/>
      </w:rPr>
      <w:tab/>
    </w:r>
    <w:r w:rsidR="00D83921">
      <w:rPr>
        <w:rFonts w:asciiTheme="minorHAnsi" w:eastAsiaTheme="minorEastAsia" w:hAnsiTheme="minorHAnsi" w:cstheme="minorHAnsi"/>
        <w:color w:val="5F497A" w:themeColor="accent4" w:themeShade="BF"/>
        <w:sz w:val="18"/>
        <w:szCs w:val="18"/>
      </w:rPr>
      <w:t xml:space="preserve">Page </w:t>
    </w:r>
    <w:r w:rsidR="009C6118" w:rsidRPr="00D83921">
      <w:rPr>
        <w:rFonts w:asciiTheme="minorHAnsi" w:eastAsiaTheme="minorEastAsia" w:hAnsiTheme="minorHAnsi" w:cstheme="minorHAnsi"/>
        <w:color w:val="5F497A" w:themeColor="accent4" w:themeShade="BF"/>
        <w:sz w:val="18"/>
        <w:szCs w:val="18"/>
      </w:rPr>
      <w:fldChar w:fldCharType="begin"/>
    </w:r>
    <w:r w:rsidR="00BD18E1" w:rsidRPr="00D83921">
      <w:rPr>
        <w:rFonts w:asciiTheme="minorHAnsi" w:hAnsiTheme="minorHAnsi" w:cstheme="minorHAnsi"/>
        <w:color w:val="5F497A" w:themeColor="accent4" w:themeShade="BF"/>
        <w:sz w:val="18"/>
        <w:szCs w:val="18"/>
      </w:rPr>
      <w:instrText xml:space="preserve"> PAGE   \* MERGEFORMAT </w:instrText>
    </w:r>
    <w:r w:rsidR="009C6118" w:rsidRPr="00D83921">
      <w:rPr>
        <w:rFonts w:asciiTheme="minorHAnsi" w:eastAsiaTheme="minorEastAsia" w:hAnsiTheme="minorHAnsi" w:cstheme="minorHAnsi"/>
        <w:color w:val="5F497A" w:themeColor="accent4" w:themeShade="BF"/>
        <w:sz w:val="18"/>
        <w:szCs w:val="18"/>
      </w:rPr>
      <w:fldChar w:fldCharType="separate"/>
    </w:r>
    <w:r w:rsidR="00C326A0" w:rsidRPr="00C326A0">
      <w:rPr>
        <w:rFonts w:asciiTheme="minorHAnsi" w:eastAsiaTheme="majorEastAsia" w:hAnsiTheme="minorHAnsi" w:cstheme="minorHAnsi"/>
        <w:color w:val="5F497A" w:themeColor="accent4" w:themeShade="BF"/>
        <w:sz w:val="18"/>
        <w:szCs w:val="18"/>
      </w:rPr>
      <w:t>12</w:t>
    </w:r>
    <w:r w:rsidR="009C6118" w:rsidRPr="00D83921">
      <w:rPr>
        <w:rFonts w:asciiTheme="minorHAnsi" w:eastAsiaTheme="majorEastAsia" w:hAnsiTheme="minorHAnsi" w:cstheme="minorHAnsi"/>
        <w:color w:val="5F497A" w:themeColor="accent4"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1A" w:rsidRDefault="00F07D1A">
      <w:r>
        <w:separator/>
      </w:r>
    </w:p>
  </w:footnote>
  <w:footnote w:type="continuationSeparator" w:id="0">
    <w:p w:rsidR="00F07D1A" w:rsidRDefault="00F0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9E" w:rsidRDefault="000C5B9E" w:rsidP="007341A4">
    <w:pPr>
      <w:pStyle w:val="Header"/>
      <w:tabs>
        <w:tab w:val="clear" w:pos="4320"/>
        <w:tab w:val="clear" w:pos="8640"/>
        <w:tab w:val="right" w:pos="13892"/>
      </w:tabs>
      <w:rPr>
        <w:rFonts w:asciiTheme="minorHAnsi" w:hAnsiTheme="minorHAnsi" w:cstheme="minorHAnsi"/>
        <w:sz w:val="20"/>
        <w:szCs w:val="20"/>
      </w:rPr>
    </w:pPr>
    <w:r>
      <w:rPr>
        <w:rFonts w:asciiTheme="minorHAnsi" w:hAnsiTheme="minorHAnsi" w:cstheme="minorHAnsi"/>
        <w:sz w:val="20"/>
        <w:szCs w:val="20"/>
      </w:rPr>
      <w:t>Embedding Energy Management</w:t>
    </w:r>
    <w:r>
      <w:rPr>
        <w:rFonts w:asciiTheme="minorHAnsi" w:hAnsiTheme="minorHAnsi" w:cstheme="minorHAnsi"/>
        <w:sz w:val="20"/>
        <w:szCs w:val="20"/>
      </w:rPr>
      <w:tab/>
      <w:t xml:space="preserve"> Practice guide - Energy procurement</w:t>
    </w:r>
  </w:p>
  <w:p w:rsidR="000C5B9E" w:rsidRPr="007341A4" w:rsidRDefault="000C5B9E" w:rsidP="007341A4">
    <w:pPr>
      <w:pStyle w:val="Header"/>
      <w:pBdr>
        <w:top w:val="single" w:sz="8" w:space="1" w:color="auto"/>
      </w:pBdr>
      <w:tabs>
        <w:tab w:val="clear" w:pos="4320"/>
        <w:tab w:val="clear" w:pos="8640"/>
        <w:tab w:val="right" w:pos="13892"/>
      </w:tabs>
      <w:rPr>
        <w:rFonts w:asciiTheme="minorHAnsi" w:hAnsiTheme="minorHAnsi" w:cstheme="minorHAnsi"/>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B5127"/>
    <w:multiLevelType w:val="hybridMultilevel"/>
    <w:tmpl w:val="FC7EF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F1B26A2"/>
    <w:multiLevelType w:val="hybridMultilevel"/>
    <w:tmpl w:val="B7B64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8E710A"/>
    <w:multiLevelType w:val="hybridMultilevel"/>
    <w:tmpl w:val="9BEC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653E09"/>
    <w:multiLevelType w:val="hybridMultilevel"/>
    <w:tmpl w:val="5AAE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D14B73"/>
    <w:multiLevelType w:val="hybridMultilevel"/>
    <w:tmpl w:val="7B9A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F90B09"/>
    <w:multiLevelType w:val="hybridMultilevel"/>
    <w:tmpl w:val="56F8E9D8"/>
    <w:lvl w:ilvl="0" w:tplc="CAD86C1C">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6025E50"/>
    <w:multiLevelType w:val="hybridMultilevel"/>
    <w:tmpl w:val="E2D8F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914E79"/>
    <w:multiLevelType w:val="hybridMultilevel"/>
    <w:tmpl w:val="8990C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DC087B"/>
    <w:multiLevelType w:val="hybridMultilevel"/>
    <w:tmpl w:val="90ACAB1C"/>
    <w:lvl w:ilvl="0" w:tplc="0C090001">
      <w:start w:val="1"/>
      <w:numFmt w:val="bullet"/>
      <w:lvlText w:val=""/>
      <w:lvlJc w:val="left"/>
      <w:pPr>
        <w:ind w:left="1080" w:hanging="360"/>
      </w:pPr>
      <w:rPr>
        <w:rFonts w:ascii="Symbol" w:hAnsi="Symbol" w:hint="default"/>
      </w:rPr>
    </w:lvl>
    <w:lvl w:ilvl="1" w:tplc="009C9BD6">
      <w:numFmt w:val="bullet"/>
      <w:lvlText w:val="–"/>
      <w:lvlJc w:val="left"/>
      <w:pPr>
        <w:ind w:left="1800" w:hanging="360"/>
      </w:pPr>
      <w:rPr>
        <w:rFonts w:ascii="Calibri" w:eastAsia="Times" w:hAnsi="Calibri" w:cs="Bembo"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7173B35"/>
    <w:multiLevelType w:val="hybridMultilevel"/>
    <w:tmpl w:val="36D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521CA6"/>
    <w:multiLevelType w:val="hybridMultilevel"/>
    <w:tmpl w:val="621ADC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2E174FD"/>
    <w:multiLevelType w:val="hybridMultilevel"/>
    <w:tmpl w:val="90B6F7BE"/>
    <w:lvl w:ilvl="0" w:tplc="0C09000F">
      <w:start w:val="1"/>
      <w:numFmt w:val="decimal"/>
      <w:lvlText w:val="%1."/>
      <w:lvlJc w:val="left"/>
      <w:pPr>
        <w:ind w:left="720" w:hanging="360"/>
      </w:pPr>
    </w:lvl>
    <w:lvl w:ilvl="1" w:tplc="9E220D14">
      <w:start w:val="1"/>
      <w:numFmt w:val="decimal"/>
      <w:lvlText w:val="%2."/>
      <w:lvlJc w:val="left"/>
      <w:pPr>
        <w:ind w:left="1440" w:hanging="360"/>
      </w:pPr>
      <w:rPr>
        <w:rFonts w:hint="default"/>
      </w:rPr>
    </w:lvl>
    <w:lvl w:ilvl="2" w:tplc="EF5A09D0">
      <w:numFmt w:val="bullet"/>
      <w:lvlText w:val="•"/>
      <w:lvlJc w:val="left"/>
      <w:pPr>
        <w:ind w:left="2340" w:hanging="360"/>
      </w:pPr>
      <w:rPr>
        <w:rFonts w:ascii="Calibri" w:eastAsia="Times" w:hAnsi="Calibri" w:cs="Bembo"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276283"/>
    <w:multiLevelType w:val="multilevel"/>
    <w:tmpl w:val="784EC7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B665274"/>
    <w:multiLevelType w:val="hybridMultilevel"/>
    <w:tmpl w:val="CFE05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4A7C7A"/>
    <w:multiLevelType w:val="hybridMultilevel"/>
    <w:tmpl w:val="313C2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D07B73"/>
    <w:multiLevelType w:val="hybridMultilevel"/>
    <w:tmpl w:val="89BC7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0">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89E0936"/>
    <w:multiLevelType w:val="hybridMultilevel"/>
    <w:tmpl w:val="78082E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8"/>
  </w:num>
  <w:num w:numId="2">
    <w:abstractNumId w:val="20"/>
  </w:num>
  <w:num w:numId="3">
    <w:abstractNumId w:val="15"/>
  </w:num>
  <w:num w:numId="4">
    <w:abstractNumId w:val="0"/>
  </w:num>
  <w:num w:numId="5">
    <w:abstractNumId w:val="17"/>
  </w:num>
  <w:num w:numId="6">
    <w:abstractNumId w:val="14"/>
  </w:num>
  <w:num w:numId="7">
    <w:abstractNumId w:val="19"/>
  </w:num>
  <w:num w:numId="8">
    <w:abstractNumId w:val="16"/>
  </w:num>
  <w:num w:numId="9">
    <w:abstractNumId w:val="6"/>
  </w:num>
  <w:num w:numId="10">
    <w:abstractNumId w:val="12"/>
  </w:num>
  <w:num w:numId="11">
    <w:abstractNumId w:val="5"/>
  </w:num>
  <w:num w:numId="12">
    <w:abstractNumId w:val="7"/>
  </w:num>
  <w:num w:numId="13">
    <w:abstractNumId w:val="4"/>
  </w:num>
  <w:num w:numId="14">
    <w:abstractNumId w:val="22"/>
  </w:num>
  <w:num w:numId="15">
    <w:abstractNumId w:val="15"/>
  </w:num>
  <w:num w:numId="16">
    <w:abstractNumId w:val="13"/>
  </w:num>
  <w:num w:numId="17">
    <w:abstractNumId w:val="11"/>
  </w:num>
  <w:num w:numId="18">
    <w:abstractNumId w:val="9"/>
  </w:num>
  <w:num w:numId="19">
    <w:abstractNumId w:val="1"/>
  </w:num>
  <w:num w:numId="20">
    <w:abstractNumId w:val="10"/>
  </w:num>
  <w:num w:numId="21">
    <w:abstractNumId w:val="18"/>
  </w:num>
  <w:num w:numId="22">
    <w:abstractNumId w:val="2"/>
  </w:num>
  <w:num w:numId="23">
    <w:abstractNumId w:val="21"/>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25"/>
    <w:rsid w:val="00001603"/>
    <w:rsid w:val="00006004"/>
    <w:rsid w:val="00013083"/>
    <w:rsid w:val="00015427"/>
    <w:rsid w:val="00015711"/>
    <w:rsid w:val="00017860"/>
    <w:rsid w:val="00024FF4"/>
    <w:rsid w:val="000379DC"/>
    <w:rsid w:val="000431F7"/>
    <w:rsid w:val="00054D69"/>
    <w:rsid w:val="00073D38"/>
    <w:rsid w:val="0007572C"/>
    <w:rsid w:val="00082616"/>
    <w:rsid w:val="000876A7"/>
    <w:rsid w:val="00095772"/>
    <w:rsid w:val="000A7D55"/>
    <w:rsid w:val="000B0571"/>
    <w:rsid w:val="000B7E17"/>
    <w:rsid w:val="000C1497"/>
    <w:rsid w:val="000C263A"/>
    <w:rsid w:val="000C5A81"/>
    <w:rsid w:val="000C5B9E"/>
    <w:rsid w:val="000F52D7"/>
    <w:rsid w:val="000F610A"/>
    <w:rsid w:val="0013203E"/>
    <w:rsid w:val="001321CD"/>
    <w:rsid w:val="0015281C"/>
    <w:rsid w:val="00162390"/>
    <w:rsid w:val="001910BE"/>
    <w:rsid w:val="001B1622"/>
    <w:rsid w:val="001C2BE8"/>
    <w:rsid w:val="001C6078"/>
    <w:rsid w:val="001D27D4"/>
    <w:rsid w:val="001E0C55"/>
    <w:rsid w:val="001E3120"/>
    <w:rsid w:val="001E7AEE"/>
    <w:rsid w:val="001F6AE8"/>
    <w:rsid w:val="00212803"/>
    <w:rsid w:val="00213655"/>
    <w:rsid w:val="00221F90"/>
    <w:rsid w:val="002472EC"/>
    <w:rsid w:val="00250835"/>
    <w:rsid w:val="00261EE8"/>
    <w:rsid w:val="002655D9"/>
    <w:rsid w:val="002B0459"/>
    <w:rsid w:val="002B2DFB"/>
    <w:rsid w:val="002B47F1"/>
    <w:rsid w:val="002D64D8"/>
    <w:rsid w:val="00300CC8"/>
    <w:rsid w:val="00302B1B"/>
    <w:rsid w:val="00317703"/>
    <w:rsid w:val="00324A44"/>
    <w:rsid w:val="00340108"/>
    <w:rsid w:val="00350315"/>
    <w:rsid w:val="003529D7"/>
    <w:rsid w:val="003556FB"/>
    <w:rsid w:val="0036731B"/>
    <w:rsid w:val="00370935"/>
    <w:rsid w:val="00375EC1"/>
    <w:rsid w:val="00383F5E"/>
    <w:rsid w:val="00394CFC"/>
    <w:rsid w:val="003A7A5F"/>
    <w:rsid w:val="003B7434"/>
    <w:rsid w:val="003C2F7D"/>
    <w:rsid w:val="003C5B93"/>
    <w:rsid w:val="003C7288"/>
    <w:rsid w:val="003D5776"/>
    <w:rsid w:val="003D7162"/>
    <w:rsid w:val="00406E71"/>
    <w:rsid w:val="0041155B"/>
    <w:rsid w:val="00413166"/>
    <w:rsid w:val="00415B03"/>
    <w:rsid w:val="00434AA1"/>
    <w:rsid w:val="00442EC9"/>
    <w:rsid w:val="00453DC9"/>
    <w:rsid w:val="00455C6F"/>
    <w:rsid w:val="00461D42"/>
    <w:rsid w:val="0046251F"/>
    <w:rsid w:val="004669FE"/>
    <w:rsid w:val="00473D50"/>
    <w:rsid w:val="00484E24"/>
    <w:rsid w:val="00486804"/>
    <w:rsid w:val="00486E0C"/>
    <w:rsid w:val="004A00AE"/>
    <w:rsid w:val="004B0848"/>
    <w:rsid w:val="004B1B20"/>
    <w:rsid w:val="004C1FE3"/>
    <w:rsid w:val="004D1E7E"/>
    <w:rsid w:val="004D2F35"/>
    <w:rsid w:val="004E2E95"/>
    <w:rsid w:val="004F13BD"/>
    <w:rsid w:val="005111BA"/>
    <w:rsid w:val="00511C94"/>
    <w:rsid w:val="005305E4"/>
    <w:rsid w:val="00531522"/>
    <w:rsid w:val="00535185"/>
    <w:rsid w:val="005406F9"/>
    <w:rsid w:val="0055050A"/>
    <w:rsid w:val="00565361"/>
    <w:rsid w:val="005700CB"/>
    <w:rsid w:val="00572D2F"/>
    <w:rsid w:val="005C12C6"/>
    <w:rsid w:val="005C4FA5"/>
    <w:rsid w:val="005D7A60"/>
    <w:rsid w:val="005F6A6D"/>
    <w:rsid w:val="006105C5"/>
    <w:rsid w:val="006275E2"/>
    <w:rsid w:val="00633342"/>
    <w:rsid w:val="006525D8"/>
    <w:rsid w:val="0067580F"/>
    <w:rsid w:val="00684CCA"/>
    <w:rsid w:val="00695AF3"/>
    <w:rsid w:val="006A67F4"/>
    <w:rsid w:val="006A76E1"/>
    <w:rsid w:val="006B3EE8"/>
    <w:rsid w:val="006B685E"/>
    <w:rsid w:val="006C10B4"/>
    <w:rsid w:val="006E3510"/>
    <w:rsid w:val="006E7731"/>
    <w:rsid w:val="006F011B"/>
    <w:rsid w:val="00703038"/>
    <w:rsid w:val="007341A4"/>
    <w:rsid w:val="00764331"/>
    <w:rsid w:val="007679E8"/>
    <w:rsid w:val="007751D2"/>
    <w:rsid w:val="00780C26"/>
    <w:rsid w:val="00780F7D"/>
    <w:rsid w:val="0078422B"/>
    <w:rsid w:val="00784FDA"/>
    <w:rsid w:val="00786D92"/>
    <w:rsid w:val="007A05E7"/>
    <w:rsid w:val="007B199F"/>
    <w:rsid w:val="007B5013"/>
    <w:rsid w:val="00804AFB"/>
    <w:rsid w:val="00826868"/>
    <w:rsid w:val="00837882"/>
    <w:rsid w:val="00850943"/>
    <w:rsid w:val="008764F4"/>
    <w:rsid w:val="00894B9F"/>
    <w:rsid w:val="008A2B74"/>
    <w:rsid w:val="008A577D"/>
    <w:rsid w:val="008A7826"/>
    <w:rsid w:val="008B3036"/>
    <w:rsid w:val="008B3441"/>
    <w:rsid w:val="008B7B6D"/>
    <w:rsid w:val="008C4160"/>
    <w:rsid w:val="008E5956"/>
    <w:rsid w:val="008F4A91"/>
    <w:rsid w:val="008F645D"/>
    <w:rsid w:val="008F7AA1"/>
    <w:rsid w:val="00906A69"/>
    <w:rsid w:val="00923437"/>
    <w:rsid w:val="00947210"/>
    <w:rsid w:val="009724B2"/>
    <w:rsid w:val="0097460C"/>
    <w:rsid w:val="009A578C"/>
    <w:rsid w:val="009B346A"/>
    <w:rsid w:val="009B6050"/>
    <w:rsid w:val="009C04F1"/>
    <w:rsid w:val="009C1A13"/>
    <w:rsid w:val="009C4BFB"/>
    <w:rsid w:val="009C6118"/>
    <w:rsid w:val="009D48CE"/>
    <w:rsid w:val="009E357F"/>
    <w:rsid w:val="009E38ED"/>
    <w:rsid w:val="009E4CA1"/>
    <w:rsid w:val="00A072DF"/>
    <w:rsid w:val="00A113AE"/>
    <w:rsid w:val="00A201D2"/>
    <w:rsid w:val="00A213AC"/>
    <w:rsid w:val="00A25458"/>
    <w:rsid w:val="00A33884"/>
    <w:rsid w:val="00A401EC"/>
    <w:rsid w:val="00A4043C"/>
    <w:rsid w:val="00A4238A"/>
    <w:rsid w:val="00A43086"/>
    <w:rsid w:val="00A5162C"/>
    <w:rsid w:val="00A55DA9"/>
    <w:rsid w:val="00A6545B"/>
    <w:rsid w:val="00A74855"/>
    <w:rsid w:val="00A80D2D"/>
    <w:rsid w:val="00A83AB7"/>
    <w:rsid w:val="00A9786E"/>
    <w:rsid w:val="00AA11BB"/>
    <w:rsid w:val="00AB2780"/>
    <w:rsid w:val="00AB65A8"/>
    <w:rsid w:val="00AE62CE"/>
    <w:rsid w:val="00AF42DC"/>
    <w:rsid w:val="00B10142"/>
    <w:rsid w:val="00B24649"/>
    <w:rsid w:val="00B34BEB"/>
    <w:rsid w:val="00B62CCF"/>
    <w:rsid w:val="00B70813"/>
    <w:rsid w:val="00B745C8"/>
    <w:rsid w:val="00B84540"/>
    <w:rsid w:val="00B8469F"/>
    <w:rsid w:val="00BB5D5A"/>
    <w:rsid w:val="00BD18E1"/>
    <w:rsid w:val="00BD7286"/>
    <w:rsid w:val="00BE14CF"/>
    <w:rsid w:val="00BE7D8B"/>
    <w:rsid w:val="00C02A23"/>
    <w:rsid w:val="00C1648F"/>
    <w:rsid w:val="00C217D5"/>
    <w:rsid w:val="00C219D3"/>
    <w:rsid w:val="00C21AE2"/>
    <w:rsid w:val="00C241E2"/>
    <w:rsid w:val="00C25058"/>
    <w:rsid w:val="00C31655"/>
    <w:rsid w:val="00C326A0"/>
    <w:rsid w:val="00C46FD5"/>
    <w:rsid w:val="00C500F2"/>
    <w:rsid w:val="00C526A6"/>
    <w:rsid w:val="00C61E00"/>
    <w:rsid w:val="00C652C2"/>
    <w:rsid w:val="00C8640A"/>
    <w:rsid w:val="00C939A0"/>
    <w:rsid w:val="00CA0AEA"/>
    <w:rsid w:val="00CC4AF4"/>
    <w:rsid w:val="00CD77D2"/>
    <w:rsid w:val="00CE1771"/>
    <w:rsid w:val="00CE2511"/>
    <w:rsid w:val="00CE3535"/>
    <w:rsid w:val="00CF22C6"/>
    <w:rsid w:val="00D06A1C"/>
    <w:rsid w:val="00D330AF"/>
    <w:rsid w:val="00D34C6C"/>
    <w:rsid w:val="00D46958"/>
    <w:rsid w:val="00D7161B"/>
    <w:rsid w:val="00D829EB"/>
    <w:rsid w:val="00D83921"/>
    <w:rsid w:val="00D85C25"/>
    <w:rsid w:val="00D90615"/>
    <w:rsid w:val="00DA10B3"/>
    <w:rsid w:val="00DA1B23"/>
    <w:rsid w:val="00DB015A"/>
    <w:rsid w:val="00DB127C"/>
    <w:rsid w:val="00DC7854"/>
    <w:rsid w:val="00DD113C"/>
    <w:rsid w:val="00DD4434"/>
    <w:rsid w:val="00DE5861"/>
    <w:rsid w:val="00E05689"/>
    <w:rsid w:val="00E06A79"/>
    <w:rsid w:val="00E15FF6"/>
    <w:rsid w:val="00E1653F"/>
    <w:rsid w:val="00E17441"/>
    <w:rsid w:val="00E26428"/>
    <w:rsid w:val="00E56B6A"/>
    <w:rsid w:val="00E735E5"/>
    <w:rsid w:val="00E937DB"/>
    <w:rsid w:val="00E96E7A"/>
    <w:rsid w:val="00EB44CF"/>
    <w:rsid w:val="00EB593F"/>
    <w:rsid w:val="00EC153C"/>
    <w:rsid w:val="00EC26C6"/>
    <w:rsid w:val="00EC7DE1"/>
    <w:rsid w:val="00EE34C9"/>
    <w:rsid w:val="00EF37DF"/>
    <w:rsid w:val="00F07D1A"/>
    <w:rsid w:val="00F1002F"/>
    <w:rsid w:val="00F20399"/>
    <w:rsid w:val="00F36E32"/>
    <w:rsid w:val="00F4277C"/>
    <w:rsid w:val="00F7468B"/>
    <w:rsid w:val="00F77D43"/>
    <w:rsid w:val="00FA1036"/>
    <w:rsid w:val="00FC2D89"/>
    <w:rsid w:val="00FC6DA8"/>
    <w:rsid w:val="00FC6FB8"/>
    <w:rsid w:val="00FD0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043C"/>
    <w:pPr>
      <w:ind w:left="-709"/>
    </w:pPr>
    <w:rPr>
      <w:rFonts w:ascii="Arial" w:hAnsi="Arial"/>
    </w:rPr>
  </w:style>
  <w:style w:type="paragraph" w:styleId="BodyText">
    <w:name w:val="Body Text"/>
    <w:basedOn w:val="Normal"/>
    <w:link w:val="BodyTextChar"/>
    <w:uiPriority w:val="99"/>
    <w:rsid w:val="00A4043C"/>
    <w:pPr>
      <w:ind w:right="-606"/>
    </w:pPr>
    <w:rPr>
      <w:rFonts w:ascii="Arial" w:hAnsi="Arial"/>
    </w:rPr>
  </w:style>
  <w:style w:type="paragraph" w:styleId="BodyText2">
    <w:name w:val="Body Text 2"/>
    <w:basedOn w:val="Normal"/>
    <w:rsid w:val="00A4043C"/>
    <w:pPr>
      <w:ind w:right="-747"/>
    </w:pPr>
    <w:rPr>
      <w:rFonts w:ascii="Arial" w:hAnsi="Arial"/>
    </w:rPr>
  </w:style>
  <w:style w:type="paragraph" w:styleId="Header">
    <w:name w:val="header"/>
    <w:basedOn w:val="Normal"/>
    <w:rsid w:val="00A4043C"/>
    <w:pPr>
      <w:tabs>
        <w:tab w:val="center" w:pos="4320"/>
        <w:tab w:val="right" w:pos="8640"/>
      </w:tabs>
    </w:pPr>
  </w:style>
  <w:style w:type="paragraph" w:styleId="Footer">
    <w:name w:val="footer"/>
    <w:basedOn w:val="Normal"/>
    <w:link w:val="FooterChar"/>
    <w:uiPriority w:val="99"/>
    <w:rsid w:val="00A4043C"/>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A4043C"/>
    <w:rPr>
      <w:color w:val="602767"/>
      <w:u w:val="none"/>
    </w:rPr>
  </w:style>
  <w:style w:type="paragraph" w:customStyle="1" w:styleId="NormalParagraphStyle">
    <w:name w:val="NormalParagraphStyle"/>
    <w:basedOn w:val="Normal"/>
    <w:rsid w:val="00A4043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A4043C"/>
    <w:rPr>
      <w:rFonts w:ascii="AkzidenzGroteskBE-Md" w:hAnsi="AkzidenzGroteskBE-Md"/>
      <w:sz w:val="19"/>
    </w:rPr>
  </w:style>
  <w:style w:type="paragraph" w:customStyle="1" w:styleId="BODY">
    <w:name w:val="BODY"/>
    <w:basedOn w:val="Normal"/>
    <w:rsid w:val="00A4043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7"/>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character" w:styleId="CommentReference">
    <w:name w:val="annotation reference"/>
    <w:basedOn w:val="DefaultParagraphFont"/>
    <w:uiPriority w:val="99"/>
    <w:semiHidden/>
    <w:unhideWhenUsed/>
    <w:rsid w:val="001321CD"/>
    <w:rPr>
      <w:sz w:val="16"/>
      <w:szCs w:val="16"/>
    </w:rPr>
  </w:style>
  <w:style w:type="paragraph" w:styleId="CommentText">
    <w:name w:val="annotation text"/>
    <w:basedOn w:val="Normal"/>
    <w:link w:val="CommentTextChar"/>
    <w:uiPriority w:val="99"/>
    <w:semiHidden/>
    <w:unhideWhenUsed/>
    <w:rsid w:val="001321CD"/>
    <w:rPr>
      <w:sz w:val="20"/>
      <w:szCs w:val="20"/>
    </w:rPr>
  </w:style>
  <w:style w:type="character" w:customStyle="1" w:styleId="CommentTextChar">
    <w:name w:val="Comment Text Char"/>
    <w:basedOn w:val="DefaultParagraphFont"/>
    <w:link w:val="CommentText"/>
    <w:uiPriority w:val="99"/>
    <w:semiHidden/>
    <w:rsid w:val="001321CD"/>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1321CD"/>
    <w:rPr>
      <w:b/>
      <w:bCs/>
    </w:rPr>
  </w:style>
  <w:style w:type="character" w:customStyle="1" w:styleId="CommentSubjectChar">
    <w:name w:val="Comment Subject Char"/>
    <w:basedOn w:val="CommentTextChar"/>
    <w:link w:val="CommentSubject"/>
    <w:uiPriority w:val="99"/>
    <w:semiHidden/>
    <w:rsid w:val="001321CD"/>
    <w:rPr>
      <w:rFonts w:ascii="Times New Roman" w:eastAsia="Times New Roman" w:hAnsi="Times New Roman"/>
      <w:b/>
      <w:bCs/>
      <w:noProof/>
    </w:rPr>
  </w:style>
  <w:style w:type="character" w:customStyle="1" w:styleId="BalloonTextChar">
    <w:name w:val="Balloon Text Char"/>
    <w:basedOn w:val="DefaultParagraphFont"/>
    <w:link w:val="BalloonText"/>
    <w:uiPriority w:val="99"/>
    <w:semiHidden/>
    <w:rsid w:val="004D2F35"/>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043C"/>
    <w:pPr>
      <w:ind w:left="-709"/>
    </w:pPr>
    <w:rPr>
      <w:rFonts w:ascii="Arial" w:hAnsi="Arial"/>
    </w:rPr>
  </w:style>
  <w:style w:type="paragraph" w:styleId="BodyText">
    <w:name w:val="Body Text"/>
    <w:basedOn w:val="Normal"/>
    <w:link w:val="BodyTextChar"/>
    <w:uiPriority w:val="99"/>
    <w:rsid w:val="00A4043C"/>
    <w:pPr>
      <w:ind w:right="-606"/>
    </w:pPr>
    <w:rPr>
      <w:rFonts w:ascii="Arial" w:hAnsi="Arial"/>
    </w:rPr>
  </w:style>
  <w:style w:type="paragraph" w:styleId="BodyText2">
    <w:name w:val="Body Text 2"/>
    <w:basedOn w:val="Normal"/>
    <w:rsid w:val="00A4043C"/>
    <w:pPr>
      <w:ind w:right="-747"/>
    </w:pPr>
    <w:rPr>
      <w:rFonts w:ascii="Arial" w:hAnsi="Arial"/>
    </w:rPr>
  </w:style>
  <w:style w:type="paragraph" w:styleId="Header">
    <w:name w:val="header"/>
    <w:basedOn w:val="Normal"/>
    <w:rsid w:val="00A4043C"/>
    <w:pPr>
      <w:tabs>
        <w:tab w:val="center" w:pos="4320"/>
        <w:tab w:val="right" w:pos="8640"/>
      </w:tabs>
    </w:pPr>
  </w:style>
  <w:style w:type="paragraph" w:styleId="Footer">
    <w:name w:val="footer"/>
    <w:basedOn w:val="Normal"/>
    <w:link w:val="FooterChar"/>
    <w:uiPriority w:val="99"/>
    <w:rsid w:val="00A4043C"/>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A4043C"/>
    <w:rPr>
      <w:color w:val="602767"/>
      <w:u w:val="none"/>
    </w:rPr>
  </w:style>
  <w:style w:type="paragraph" w:customStyle="1" w:styleId="NormalParagraphStyle">
    <w:name w:val="NormalParagraphStyle"/>
    <w:basedOn w:val="Normal"/>
    <w:rsid w:val="00A4043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A4043C"/>
    <w:rPr>
      <w:rFonts w:ascii="AkzidenzGroteskBE-Md" w:hAnsi="AkzidenzGroteskBE-Md"/>
      <w:sz w:val="19"/>
    </w:rPr>
  </w:style>
  <w:style w:type="paragraph" w:customStyle="1" w:styleId="BODY">
    <w:name w:val="BODY"/>
    <w:basedOn w:val="Normal"/>
    <w:rsid w:val="00A4043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7"/>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character" w:styleId="CommentReference">
    <w:name w:val="annotation reference"/>
    <w:basedOn w:val="DefaultParagraphFont"/>
    <w:uiPriority w:val="99"/>
    <w:semiHidden/>
    <w:unhideWhenUsed/>
    <w:rsid w:val="001321CD"/>
    <w:rPr>
      <w:sz w:val="16"/>
      <w:szCs w:val="16"/>
    </w:rPr>
  </w:style>
  <w:style w:type="paragraph" w:styleId="CommentText">
    <w:name w:val="annotation text"/>
    <w:basedOn w:val="Normal"/>
    <w:link w:val="CommentTextChar"/>
    <w:uiPriority w:val="99"/>
    <w:semiHidden/>
    <w:unhideWhenUsed/>
    <w:rsid w:val="001321CD"/>
    <w:rPr>
      <w:sz w:val="20"/>
      <w:szCs w:val="20"/>
    </w:rPr>
  </w:style>
  <w:style w:type="character" w:customStyle="1" w:styleId="CommentTextChar">
    <w:name w:val="Comment Text Char"/>
    <w:basedOn w:val="DefaultParagraphFont"/>
    <w:link w:val="CommentText"/>
    <w:uiPriority w:val="99"/>
    <w:semiHidden/>
    <w:rsid w:val="001321CD"/>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1321CD"/>
    <w:rPr>
      <w:b/>
      <w:bCs/>
    </w:rPr>
  </w:style>
  <w:style w:type="character" w:customStyle="1" w:styleId="CommentSubjectChar">
    <w:name w:val="Comment Subject Char"/>
    <w:basedOn w:val="CommentTextChar"/>
    <w:link w:val="CommentSubject"/>
    <w:uiPriority w:val="99"/>
    <w:semiHidden/>
    <w:rsid w:val="001321CD"/>
    <w:rPr>
      <w:rFonts w:ascii="Times New Roman" w:eastAsia="Times New Roman" w:hAnsi="Times New Roman"/>
      <w:b/>
      <w:bCs/>
      <w:noProof/>
    </w:rPr>
  </w:style>
  <w:style w:type="character" w:customStyle="1" w:styleId="BalloonTextChar">
    <w:name w:val="Balloon Text Char"/>
    <w:basedOn w:val="DefaultParagraphFont"/>
    <w:link w:val="BalloonText"/>
    <w:uiPriority w:val="99"/>
    <w:semiHidden/>
    <w:rsid w:val="004D2F3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37">
      <w:bodyDiv w:val="1"/>
      <w:marLeft w:val="0"/>
      <w:marRight w:val="0"/>
      <w:marTop w:val="0"/>
      <w:marBottom w:val="0"/>
      <w:divBdr>
        <w:top w:val="none" w:sz="0" w:space="0" w:color="auto"/>
        <w:left w:val="none" w:sz="0" w:space="0" w:color="auto"/>
        <w:bottom w:val="none" w:sz="0" w:space="0" w:color="auto"/>
        <w:right w:val="none" w:sz="0" w:space="0" w:color="auto"/>
      </w:divBdr>
    </w:div>
    <w:div w:id="492724690">
      <w:bodyDiv w:val="1"/>
      <w:marLeft w:val="0"/>
      <w:marRight w:val="0"/>
      <w:marTop w:val="0"/>
      <w:marBottom w:val="0"/>
      <w:divBdr>
        <w:top w:val="none" w:sz="0" w:space="0" w:color="auto"/>
        <w:left w:val="none" w:sz="0" w:space="0" w:color="auto"/>
        <w:bottom w:val="none" w:sz="0" w:space="0" w:color="auto"/>
        <w:right w:val="none" w:sz="0" w:space="0" w:color="auto"/>
      </w:divBdr>
    </w:div>
    <w:div w:id="723867832">
      <w:bodyDiv w:val="1"/>
      <w:marLeft w:val="0"/>
      <w:marRight w:val="0"/>
      <w:marTop w:val="0"/>
      <w:marBottom w:val="0"/>
      <w:divBdr>
        <w:top w:val="none" w:sz="0" w:space="0" w:color="auto"/>
        <w:left w:val="none" w:sz="0" w:space="0" w:color="auto"/>
        <w:bottom w:val="none" w:sz="0" w:space="0" w:color="auto"/>
        <w:right w:val="none" w:sz="0" w:space="0" w:color="auto"/>
      </w:divBdr>
    </w:div>
    <w:div w:id="1061101495">
      <w:bodyDiv w:val="1"/>
      <w:marLeft w:val="0"/>
      <w:marRight w:val="0"/>
      <w:marTop w:val="0"/>
      <w:marBottom w:val="0"/>
      <w:divBdr>
        <w:top w:val="none" w:sz="0" w:space="0" w:color="auto"/>
        <w:left w:val="none" w:sz="0" w:space="0" w:color="auto"/>
        <w:bottom w:val="none" w:sz="0" w:space="0" w:color="auto"/>
        <w:right w:val="none" w:sz="0" w:space="0" w:color="auto"/>
      </w:divBdr>
      <w:divsChild>
        <w:div w:id="838695593">
          <w:marLeft w:val="0"/>
          <w:marRight w:val="0"/>
          <w:marTop w:val="0"/>
          <w:marBottom w:val="0"/>
          <w:divBdr>
            <w:top w:val="none" w:sz="0" w:space="0" w:color="auto"/>
            <w:left w:val="none" w:sz="0" w:space="0" w:color="auto"/>
            <w:bottom w:val="none" w:sz="0" w:space="0" w:color="auto"/>
            <w:right w:val="none" w:sz="0" w:space="0" w:color="auto"/>
          </w:divBdr>
        </w:div>
      </w:divsChild>
    </w:div>
    <w:div w:id="1110978631">
      <w:bodyDiv w:val="1"/>
      <w:marLeft w:val="0"/>
      <w:marRight w:val="0"/>
      <w:marTop w:val="0"/>
      <w:marBottom w:val="0"/>
      <w:divBdr>
        <w:top w:val="none" w:sz="0" w:space="0" w:color="auto"/>
        <w:left w:val="none" w:sz="0" w:space="0" w:color="auto"/>
        <w:bottom w:val="none" w:sz="0" w:space="0" w:color="auto"/>
        <w:right w:val="none" w:sz="0" w:space="0" w:color="auto"/>
      </w:divBdr>
    </w:div>
    <w:div w:id="1303345105">
      <w:bodyDiv w:val="1"/>
      <w:marLeft w:val="0"/>
      <w:marRight w:val="0"/>
      <w:marTop w:val="0"/>
      <w:marBottom w:val="0"/>
      <w:divBdr>
        <w:top w:val="none" w:sz="0" w:space="0" w:color="auto"/>
        <w:left w:val="none" w:sz="0" w:space="0" w:color="auto"/>
        <w:bottom w:val="none" w:sz="0" w:space="0" w:color="auto"/>
        <w:right w:val="none" w:sz="0" w:space="0" w:color="auto"/>
      </w:divBdr>
    </w:div>
    <w:div w:id="13947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kills.com.au" TargetMode="External"/><Relationship Id="rId18" Type="http://schemas.openxmlformats.org/officeDocument/2006/relationships/hyperlink" Target="http://www.euaa.com.a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esc.vic.gov.au/Energy/Consumer-Information/Energy-Retailers-Choosing-a-Retailer"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sustainabilityskills.net.a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stainabilityskills.net.au" TargetMode="External"/><Relationship Id="rId20" Type="http://schemas.openxmlformats.org/officeDocument/2006/relationships/hyperlink" Target="http://www.industry.nsw.gov.au/energy/customers/choosing-suppli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lpgaustralia.com.au/site/index.php" TargetMode="External"/><Relationship Id="rId5" Type="http://schemas.openxmlformats.org/officeDocument/2006/relationships/webSettings" Target="webSettings.xml"/><Relationship Id="rId15" Type="http://schemas.openxmlformats.org/officeDocument/2006/relationships/hyperlink" Target="http://www.mskills.com.au" TargetMode="External"/><Relationship Id="rId23" Type="http://schemas.openxmlformats.org/officeDocument/2006/relationships/hyperlink" Target="http://www.lpgaustralia.com.au/index.php?option=com_content&amp;view=article&amp;id=50&amp;Itemid=55" TargetMode="External"/><Relationship Id="rId28" Type="http://schemas.openxmlformats.org/officeDocument/2006/relationships/theme" Target="theme/theme1.xml"/><Relationship Id="rId10" Type="http://schemas.openxmlformats.org/officeDocument/2006/relationships/hyperlink" Target="http://www.energetics.com.au/" TargetMode="External"/><Relationship Id="rId19" Type="http://schemas.openxmlformats.org/officeDocument/2006/relationships/hyperlink" Target="http://www.aer.gov.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skills.com.au" TargetMode="External"/><Relationship Id="rId22" Type="http://schemas.openxmlformats.org/officeDocument/2006/relationships/hyperlink" Target="http://www.deedi.qld.gov.au/energy/tips-elect-retailer.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BPPP\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3</TotalTime>
  <Pages>15</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27359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5</cp:revision>
  <cp:lastPrinted>2011-05-12T03:03:00Z</cp:lastPrinted>
  <dcterms:created xsi:type="dcterms:W3CDTF">2013-06-18T01:19:00Z</dcterms:created>
  <dcterms:modified xsi:type="dcterms:W3CDTF">2013-06-27T01:24:00Z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